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3GPP TS</w:t>
      </w:r>
      <w:r w:rsidR="00D85EA1">
        <w:rPr>
          <w:rFonts w:ascii="Arial" w:hAnsi="Arial"/>
          <w:b/>
          <w:kern w:val="28"/>
          <w:sz w:val="24"/>
        </w:rPr>
        <w:t>G RAN WG1 Ad-Hoc Meeting 1901</w:t>
      </w:r>
      <w:r w:rsidR="00477096">
        <w:rPr>
          <w:rFonts w:ascii="Arial" w:hAnsi="Arial"/>
          <w:b/>
          <w:kern w:val="28"/>
          <w:sz w:val="24"/>
        </w:rPr>
        <w:tab/>
        <w:t>R</w:t>
      </w:r>
      <w:r w:rsidR="00D85EA1">
        <w:rPr>
          <w:rFonts w:ascii="Arial" w:hAnsi="Arial"/>
          <w:b/>
          <w:kern w:val="28"/>
          <w:sz w:val="24"/>
        </w:rPr>
        <w:t>1-19</w:t>
      </w:r>
      <w:r w:rsidR="00923751">
        <w:rPr>
          <w:rFonts w:ascii="Arial" w:hAnsi="Arial"/>
          <w:b/>
          <w:kern w:val="28"/>
          <w:sz w:val="24"/>
        </w:rPr>
        <w:t>00943</w:t>
      </w:r>
    </w:p>
    <w:p w:rsidR="00D85EA1" w:rsidRPr="00D85EA1" w:rsidRDefault="007B68DB" w:rsidP="00D85EA1">
      <w:pPr>
        <w:tabs>
          <w:tab w:val="center" w:pos="4536"/>
          <w:tab w:val="right" w:pos="9072"/>
        </w:tabs>
        <w:rPr>
          <w:rFonts w:ascii="Arial" w:hAnsi="Arial" w:cs="Arial"/>
          <w:b/>
          <w:bCs/>
          <w:sz w:val="24"/>
          <w:lang w:eastAsia="ja-JP"/>
        </w:rPr>
      </w:pPr>
      <w:r>
        <w:rPr>
          <w:rFonts w:ascii="Arial" w:hAnsi="Arial" w:cs="Arial"/>
          <w:b/>
          <w:bCs/>
          <w:sz w:val="24"/>
          <w:lang w:eastAsia="ja-JP"/>
        </w:rPr>
        <w:t>Taipei</w:t>
      </w:r>
      <w:r w:rsidR="00D85EA1" w:rsidRPr="00D85EA1">
        <w:rPr>
          <w:rFonts w:ascii="Arial" w:hAnsi="Arial" w:cs="Arial"/>
          <w:b/>
          <w:bCs/>
          <w:sz w:val="24"/>
          <w:lang w:eastAsia="ja-JP"/>
        </w:rPr>
        <w:t>, 21</w:t>
      </w:r>
      <w:r w:rsidR="00D85EA1" w:rsidRPr="00D85EA1">
        <w:rPr>
          <w:rFonts w:ascii="Arial" w:hAnsi="Arial" w:cs="Arial"/>
          <w:b/>
          <w:bCs/>
          <w:sz w:val="24"/>
          <w:vertAlign w:val="superscript"/>
          <w:lang w:eastAsia="ja-JP"/>
        </w:rPr>
        <w:t>st</w:t>
      </w:r>
      <w:r w:rsidR="00D85EA1" w:rsidRPr="00D85EA1">
        <w:rPr>
          <w:rFonts w:ascii="Arial" w:hAnsi="Arial" w:cs="Arial"/>
          <w:b/>
          <w:bCs/>
          <w:sz w:val="24"/>
          <w:lang w:eastAsia="ja-JP"/>
        </w:rPr>
        <w:t xml:space="preserve"> – 25</w:t>
      </w:r>
      <w:r w:rsidR="00D85EA1" w:rsidRPr="00D85EA1">
        <w:rPr>
          <w:rFonts w:ascii="Arial" w:hAnsi="Arial" w:cs="Arial"/>
          <w:b/>
          <w:bCs/>
          <w:sz w:val="24"/>
          <w:vertAlign w:val="superscript"/>
          <w:lang w:eastAsia="ja-JP"/>
        </w:rPr>
        <w:t>th</w:t>
      </w:r>
      <w:r w:rsidR="00D85EA1" w:rsidRPr="00D85EA1">
        <w:rPr>
          <w:rFonts w:ascii="Arial" w:hAnsi="Arial" w:cs="Arial"/>
          <w:b/>
          <w:bCs/>
          <w:sz w:val="24"/>
          <w:lang w:eastAsia="ja-JP"/>
        </w:rPr>
        <w:t xml:space="preserve"> January, 2019</w:t>
      </w: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923751" w:rsidRDefault="00FE36DE" w:rsidP="00F74F67">
      <w:pPr>
        <w:pStyle w:val="Title"/>
        <w:tabs>
          <w:tab w:val="clear" w:pos="3780"/>
          <w:tab w:val="left" w:pos="1890"/>
          <w:tab w:val="left" w:pos="4109"/>
          <w:tab w:val="left" w:pos="5850"/>
        </w:tabs>
        <w:spacing w:line="240" w:lineRule="exact"/>
        <w:ind w:left="1886" w:hanging="1886"/>
        <w:rPr>
          <w:sz w:val="36"/>
          <w:lang w:val="en-GB"/>
        </w:rPr>
      </w:pPr>
      <w:r>
        <w:rPr>
          <w:lang w:val="en-GB"/>
        </w:rPr>
        <w:t>Title:</w:t>
      </w:r>
      <w:r>
        <w:rPr>
          <w:lang w:val="en-GB"/>
        </w:rPr>
        <w:tab/>
      </w:r>
      <w:r w:rsidR="00923751" w:rsidRPr="00923751">
        <w:rPr>
          <w:rFonts w:ascii="Segoe UI" w:hAnsi="Segoe UI" w:cs="Segoe UI"/>
          <w:szCs w:val="18"/>
        </w:rPr>
        <w:t>Considerations on Type II CSI enhancement</w:t>
      </w:r>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6C1D7E" w:rsidRDefault="001F332F" w:rsidP="006C1D7E">
      <w:r w:rsidRPr="006C1D7E">
        <w:t>In RAN1 #95 DFT-based compression was adopted as the Type II rank 1-2 overhead reduction scheme.  Alternative</w:t>
      </w:r>
      <w:r w:rsidR="00163279">
        <w:t>s</w:t>
      </w:r>
      <w:r w:rsidRPr="006C1D7E">
        <w:t xml:space="preserve"> were also agreed for a number of different aspects of the DFT-based compression </w:t>
      </w:r>
      <w:r w:rsidR="006C1D7E" w:rsidRPr="006C1D7E">
        <w:t>including</w:t>
      </w:r>
      <w:r w:rsidR="00163279">
        <w:t>:</w:t>
      </w:r>
      <w:r w:rsidR="006C1D7E" w:rsidRPr="006C1D7E">
        <w:t xml:space="preserve"> </w:t>
      </w:r>
    </w:p>
    <w:p w:rsidR="006C1D7E" w:rsidRDefault="006C1D7E" w:rsidP="006C1D7E">
      <w:pPr>
        <w:pStyle w:val="ListParagraph"/>
        <w:numPr>
          <w:ilvl w:val="0"/>
          <w:numId w:val="47"/>
        </w:numPr>
        <w:ind w:leftChars="0"/>
      </w:pPr>
      <w:r>
        <w:t>S</w:t>
      </w:r>
      <w:r w:rsidRPr="006C1D7E">
        <w:t>election of the subset of DFT vector</w:t>
      </w:r>
      <w:r>
        <w:t xml:space="preserve">s to be used as </w:t>
      </w:r>
      <w:r w:rsidR="00163279">
        <w:t>the</w:t>
      </w:r>
      <w:r>
        <w:t xml:space="preserve"> basis</w:t>
      </w:r>
      <w:r w:rsidR="00163279">
        <w:t xml:space="preserve"> set</w:t>
      </w:r>
      <w:r w:rsidR="00BA50D0">
        <w:t>, e.g., common vs. independent basis</w:t>
      </w:r>
    </w:p>
    <w:p w:rsidR="006C1D7E" w:rsidRDefault="006C1D7E" w:rsidP="006C1D7E">
      <w:pPr>
        <w:pStyle w:val="ListParagraph"/>
        <w:numPr>
          <w:ilvl w:val="0"/>
          <w:numId w:val="47"/>
        </w:numPr>
        <w:ind w:leftChars="0"/>
      </w:pPr>
      <w:r>
        <w:t>Value of f</w:t>
      </w:r>
      <w:r w:rsidRPr="006C1D7E">
        <w:t>requency domain compression unit</w:t>
      </w:r>
    </w:p>
    <w:p w:rsidR="0001372B" w:rsidRDefault="006C1D7E" w:rsidP="006C1D7E">
      <w:pPr>
        <w:pStyle w:val="ListParagraph"/>
        <w:numPr>
          <w:ilvl w:val="0"/>
          <w:numId w:val="47"/>
        </w:numPr>
        <w:ind w:leftChars="0"/>
      </w:pPr>
      <w:r>
        <w:t>Need for an oversampled DFT basis</w:t>
      </w:r>
    </w:p>
    <w:p w:rsidR="006C1D7E" w:rsidRDefault="006C1D7E" w:rsidP="006C1D7E">
      <w:pPr>
        <w:pStyle w:val="ListParagraph"/>
        <w:numPr>
          <w:ilvl w:val="0"/>
          <w:numId w:val="47"/>
        </w:numPr>
        <w:ind w:leftChars="0"/>
      </w:pPr>
      <w:r>
        <w:t>Quantization of the linear combination coefficients</w:t>
      </w:r>
    </w:p>
    <w:p w:rsidR="00BA50D0" w:rsidRDefault="00BA50D0" w:rsidP="00BA50D0">
      <w:pPr>
        <w:pStyle w:val="ListParagraph"/>
        <w:numPr>
          <w:ilvl w:val="0"/>
          <w:numId w:val="47"/>
        </w:numPr>
        <w:ind w:leftChars="0"/>
      </w:pPr>
      <w:r>
        <w:t>Whether basis subset selection should be performed separately for each layer</w:t>
      </w:r>
    </w:p>
    <w:p w:rsidR="00BA50D0" w:rsidRDefault="00BA50D0" w:rsidP="00BA50D0">
      <w:r>
        <w:t>Additional topics to be finalized but without specific alternatives include</w:t>
      </w:r>
      <w:r w:rsidR="00163279">
        <w:t>”</w:t>
      </w:r>
    </w:p>
    <w:p w:rsidR="006C1D7E" w:rsidRDefault="006C1D7E" w:rsidP="006C1D7E">
      <w:pPr>
        <w:pStyle w:val="ListParagraph"/>
        <w:numPr>
          <w:ilvl w:val="0"/>
          <w:numId w:val="47"/>
        </w:numPr>
        <w:ind w:leftChars="0"/>
      </w:pPr>
      <w:r>
        <w:t>Whether compression is performed across the entire CSI reporting band or across a portion of the band</w:t>
      </w:r>
    </w:p>
    <w:p w:rsidR="00BA50D0" w:rsidRDefault="00BA50D0" w:rsidP="006C1D7E">
      <w:pPr>
        <w:pStyle w:val="ListParagraph"/>
        <w:numPr>
          <w:ilvl w:val="0"/>
          <w:numId w:val="47"/>
        </w:numPr>
        <w:ind w:leftChars="0"/>
      </w:pPr>
      <w:r>
        <w:t>Supported values for the number of FD components after compression</w:t>
      </w:r>
    </w:p>
    <w:p w:rsidR="00BA50D0" w:rsidRPr="006C1D7E" w:rsidRDefault="00BA50D0" w:rsidP="00BA50D0">
      <w:r>
        <w:t>This contribution addresses the first four of the above items, giving our view on the agreed alternatives based on analysis of overhead and simulation results.</w:t>
      </w:r>
    </w:p>
    <w:p w:rsidR="001F332F" w:rsidRDefault="001F332F" w:rsidP="0001372B">
      <w:pPr>
        <w:rPr>
          <w:lang w:val="en-GB"/>
        </w:rPr>
      </w:pPr>
    </w:p>
    <w:p w:rsidR="008D5EBE" w:rsidRDefault="00DF5207" w:rsidP="00745CBA">
      <w:pPr>
        <w:pStyle w:val="Heading1"/>
        <w:spacing w:before="240" w:after="0"/>
        <w:rPr>
          <w:kern w:val="2"/>
        </w:rPr>
      </w:pPr>
      <w:bookmarkStart w:id="0" w:name="_Ref169246743"/>
      <w:r>
        <w:rPr>
          <w:kern w:val="2"/>
        </w:rPr>
        <w:t>Basis and Subset Selection</w:t>
      </w:r>
    </w:p>
    <w:p w:rsidR="009D04B9" w:rsidRPr="009D04B9" w:rsidRDefault="006B6C11" w:rsidP="007D3CAF">
      <w:pPr>
        <w:jc w:val="left"/>
      </w:pPr>
      <w:r>
        <w:t xml:space="preserve">The </w:t>
      </w:r>
      <m:oMath>
        <m:r>
          <w:rPr>
            <w:rFonts w:ascii="Cambria Math" w:hAnsi="Cambria Math"/>
            <w:lang w:val="sv-SE"/>
          </w:rPr>
          <m:t>2</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1</m:t>
            </m:r>
          </m:sub>
        </m:sSub>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2</m:t>
            </m:r>
          </m:sub>
        </m:sSub>
        <m:r>
          <w:rPr>
            <w:rFonts w:ascii="Cambria Math" w:hAnsi="Cambria Math"/>
            <w:lang w:val="sv-SE"/>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t xml:space="preserve">precoding matrix </w:t>
      </w:r>
      <m:oMath>
        <m:r>
          <m:rPr>
            <m:sty m:val="bi"/>
          </m:rPr>
          <w:rPr>
            <w:rFonts w:ascii="Cambria Math" w:hAnsi="Cambria Math"/>
          </w:rPr>
          <m:t>W</m:t>
        </m:r>
      </m:oMath>
      <w:r>
        <w:rPr>
          <w:b/>
        </w:rPr>
        <w:t xml:space="preserve"> </w:t>
      </w:r>
      <w:r>
        <w:t xml:space="preserve">generated by </w:t>
      </w:r>
      <w:r w:rsidR="00163279">
        <w:t xml:space="preserve">the </w:t>
      </w:r>
      <w:r w:rsidR="009D04B9">
        <w:t>DFT compression</w:t>
      </w:r>
      <w:r>
        <w:t xml:space="preserve"> scheme can be expressed as the product of three matrices:</w:t>
      </w:r>
    </w:p>
    <w:p w:rsidR="003428F9" w:rsidRPr="006B6C11" w:rsidRDefault="003428F9" w:rsidP="006B6C11">
      <w:pPr>
        <w:pStyle w:val="Style1"/>
        <w:spacing w:after="60" w:line="240" w:lineRule="auto"/>
        <w:ind w:left="360" w:firstLine="0"/>
        <w:jc w:val="left"/>
        <w:rPr>
          <w:iCs/>
          <w:lang w:val="en-US"/>
        </w:rPr>
      </w:pPr>
      <m:oMathPara>
        <m:oMath>
          <m:r>
            <m:rPr>
              <m:sty m:val="bi"/>
            </m:rPr>
            <w:rPr>
              <w:rFonts w:ascii="Cambria Math" w:hAnsi="Cambria Math"/>
              <w:lang w:val="sv-SE"/>
            </w:rPr>
            <m:t>W</m:t>
          </m:r>
          <m:r>
            <w:rPr>
              <w:rFonts w:ascii="Cambria Math" w:hAnsi="Cambria Math"/>
              <w:lang w:val="sv-SE"/>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m:oMathPara>
    </w:p>
    <w:p w:rsidR="003428F9" w:rsidRPr="00FB6533" w:rsidRDefault="006B6C11" w:rsidP="00DB2C78">
      <w:pPr>
        <w:rPr>
          <w:iCs/>
        </w:rPr>
      </w:pPr>
      <w:r>
        <w:rPr>
          <w:iCs/>
        </w:rPr>
        <w:t xml:space="preserve">where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Pr>
          <w:iCs/>
        </w:rPr>
        <w:t xml:space="preserve"> is the</w:t>
      </w:r>
      <m:oMath>
        <m:r>
          <w:rPr>
            <w:rFonts w:ascii="Cambria Math" w:hAnsi="Cambria Math"/>
            <w:lang w:val="sv-SE"/>
          </w:rPr>
          <m:t> </m:t>
        </m:r>
      </m:oMath>
      <w:r>
        <w:rPr>
          <w:iCs/>
        </w:rPr>
        <w:t xml:space="preserve">beam selection matrix used in Release 15 consisting of </w:t>
      </w:r>
      <w:r>
        <w:rPr>
          <w:i/>
          <w:iCs/>
        </w:rPr>
        <w:t xml:space="preserve">L </w:t>
      </w:r>
      <w:r>
        <w:rPr>
          <w:iCs/>
        </w:rPr>
        <w:t xml:space="preserve"> beams per polarization.  The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r>
        <w:t xml:space="preserve">matrix consists of linear combination coefficients which are applied to the spatial beams of the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Pr>
          <w:iCs/>
        </w:rPr>
        <w:t xml:space="preserve"> and the </w:t>
      </w:r>
      <w:r w:rsidR="0007740C">
        <w:rPr>
          <w:iCs/>
        </w:rPr>
        <w:t xml:space="preserve">DFT </w:t>
      </w:r>
      <w:r>
        <w:rPr>
          <w:iCs/>
        </w:rPr>
        <w:t xml:space="preserve">basis vectors contained in </w:t>
      </w:r>
      <w:r w:rsidR="0007740C">
        <w:rPr>
          <w:iCs/>
        </w:rPr>
        <w:t xml:space="preserve">the </w:t>
      </w:r>
      <w:r w:rsidR="00163279">
        <w:rPr>
          <w:iCs/>
        </w:rPr>
        <w:t xml:space="preserve">rows </w:t>
      </w:r>
      <w:r w:rsidR="0007740C">
        <w:rPr>
          <w:iCs/>
        </w:rPr>
        <w:t xml:space="preserve">of </w:t>
      </w:r>
      <m:oMath>
        <m:sSubSup>
          <m:sSubSupPr>
            <m:ctrlPr>
              <w:rPr>
                <w:rFonts w:ascii="Cambria Math" w:hAnsi="Cambria Math"/>
                <w:b/>
                <w:i/>
                <w:iCs/>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163279">
        <w:rPr>
          <w:iCs/>
        </w:rPr>
        <w:t xml:space="preserve"> and</w:t>
      </w:r>
      <w:r w:rsidR="0007740C">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0007740C">
        <w:rPr>
          <w:iCs/>
        </w:rPr>
        <w:t xml:space="preserve"> is the number of FD dimensions.</w:t>
      </w:r>
      <w:r w:rsidR="00FB6533">
        <w:rPr>
          <w:iCs/>
        </w:rPr>
        <w:t xml:space="preserve">  The set of basis vectors can be either common among all beams or beam-specific with the actual number of basis vectors either fixed, higher-layered configured, or selected by the UE.  Three alternatives for basis set selection were agreed.  These are discussed below and the performance and overhead of each </w:t>
      </w:r>
      <w:r w:rsidR="00163279">
        <w:rPr>
          <w:iCs/>
        </w:rPr>
        <w:t>alternative</w:t>
      </w:r>
      <w:r w:rsidR="00FB6533">
        <w:rPr>
          <w:iCs/>
        </w:rPr>
        <w:t xml:space="preserve"> are compared.</w:t>
      </w:r>
    </w:p>
    <w:p w:rsidR="00316425" w:rsidRDefault="00316425" w:rsidP="00DB2C78"/>
    <w:p w:rsidR="00DB2C78" w:rsidRDefault="00F27D9C" w:rsidP="00DB2C78">
      <w:pPr>
        <w:pStyle w:val="Heading2"/>
      </w:pPr>
      <w:r>
        <w:t xml:space="preserve">Alt 1A: </w:t>
      </w:r>
      <w:r w:rsidR="00DB2C78">
        <w:t>Common basis vectors selection</w:t>
      </w:r>
    </w:p>
    <w:p w:rsidR="00BA50D0" w:rsidRPr="00BA50D0" w:rsidRDefault="00BA50D0" w:rsidP="00BA50D0">
      <w:r>
        <w:t>Alt 1A is defined as follows:</w:t>
      </w:r>
    </w:p>
    <w:p w:rsidR="00DB2C78" w:rsidRPr="00DB2C78" w:rsidRDefault="00DB2C78" w:rsidP="00DB2C78">
      <w:pPr>
        <w:pStyle w:val="ListParagraph"/>
        <w:numPr>
          <w:ilvl w:val="0"/>
          <w:numId w:val="43"/>
        </w:numPr>
        <w:spacing w:line="288" w:lineRule="auto"/>
        <w:ind w:leftChars="0"/>
        <w:contextualSpacing/>
      </w:pPr>
      <w:r w:rsidRPr="00DB2C78">
        <w:t>Alt1A. Common selection for all the 2</w:t>
      </w:r>
      <w:r w:rsidRPr="00DB2C78">
        <w:rPr>
          <w:i/>
        </w:rPr>
        <w:t>L</w:t>
      </w:r>
      <w:r w:rsidRPr="00DB2C78">
        <w:t xml:space="preserve"> beams, wherein </w:t>
      </w:r>
      <w:r w:rsidRPr="00DB2C78">
        <w:rPr>
          <w:i/>
        </w:rPr>
        <w:t>M</w:t>
      </w:r>
      <w:r w:rsidRPr="00DB2C78">
        <w:t xml:space="preserve"> coefficients are reported for each beam</w:t>
      </w:r>
    </w:p>
    <w:p w:rsidR="00DB2C78" w:rsidRPr="00891C8F" w:rsidRDefault="00150894" w:rsidP="00DB2C78">
      <w:pPr>
        <w:pStyle w:val="Style1"/>
        <w:numPr>
          <w:ilvl w:val="1"/>
          <w:numId w:val="41"/>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DB2C78" w:rsidRPr="00891C8F" w:rsidRDefault="00150894" w:rsidP="00DB2C78">
      <w:pPr>
        <w:pStyle w:val="ListParagraph"/>
        <w:numPr>
          <w:ilvl w:val="1"/>
          <w:numId w:val="41"/>
        </w:numPr>
        <w:spacing w:after="60" w:line="288" w:lineRule="auto"/>
        <w:ind w:leftChars="0"/>
        <w:contextualSpacing/>
        <w:jc w:val="both"/>
        <w:rPr>
          <w:rFonts w:ascii="Times New Roman" w:hAnsi="Times New Roman"/>
        </w:rPr>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DB2C78" w:rsidRPr="00891C8F">
        <w:rPr>
          <w:rFonts w:ascii="Times New Roman" w:hAnsi="Times New Roman"/>
        </w:rPr>
        <w:t xml:space="preserve">  is composed of </w:t>
      </w:r>
      <m:oMath>
        <m:r>
          <w:rPr>
            <w:rFonts w:ascii="Cambria Math" w:hAnsi="Cambria Math"/>
          </w:rPr>
          <m:t>K=2LM</m:t>
        </m:r>
      </m:oMath>
      <w:r w:rsidR="00DB2C78" w:rsidRPr="00891C8F">
        <w:rPr>
          <w:rFonts w:ascii="Times New Roman" w:eastAsiaTheme="minorEastAsia" w:hAnsi="Times New Roman"/>
        </w:rPr>
        <w:t xml:space="preserve"> linear combination coefficients</w:t>
      </w:r>
    </w:p>
    <w:p w:rsidR="00D72BEC" w:rsidRDefault="00DB2C78" w:rsidP="00CF0A12">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rPr>
        <w:t xml:space="preserve">The value of </w:t>
      </w:r>
      <m:oMath>
        <m:r>
          <w:rPr>
            <w:rFonts w:ascii="Cambria Math" w:hAnsi="Cambria Math"/>
          </w:rPr>
          <m:t>M</m:t>
        </m:r>
      </m:oMath>
      <w:r w:rsidRPr="00891C8F">
        <w:rPr>
          <w:rFonts w:ascii="Times New Roman" w:eastAsiaTheme="minorEastAsia" w:hAnsi="Times New Roman"/>
          <w:iCs/>
        </w:rPr>
        <w:t xml:space="preserve"> (applied to all 2</w:t>
      </w:r>
      <w:r w:rsidRPr="00E45530">
        <w:rPr>
          <w:rFonts w:ascii="Times New Roman" w:eastAsiaTheme="minorEastAsia" w:hAnsi="Times New Roman"/>
          <w:i/>
          <w:iCs/>
        </w:rPr>
        <w:t>L</w:t>
      </w:r>
      <w:r w:rsidRPr="00891C8F">
        <w:rPr>
          <w:rFonts w:ascii="Times New Roman" w:eastAsiaTheme="minorEastAsia" w:hAnsi="Times New Roman"/>
          <w:iCs/>
        </w:rPr>
        <w:t xml:space="preserve"> beams) is higher-layer configured </w:t>
      </w:r>
      <w:r>
        <w:rPr>
          <w:rFonts w:ascii="Times New Roman" w:eastAsiaTheme="minorEastAsia" w:hAnsi="Times New Roman"/>
          <w:iCs/>
        </w:rPr>
        <w:t xml:space="preserve">and </w:t>
      </w:r>
      <w:r w:rsidRPr="00CA61FE">
        <w:rPr>
          <w:rFonts w:ascii="Times New Roman" w:eastAsiaTheme="minorEastAsia" w:hAnsi="Times New Roman"/>
          <w:iCs/>
        </w:rPr>
        <w:t xml:space="preserve">the </w:t>
      </w:r>
      <w:r w:rsidRPr="00CA61FE">
        <w:rPr>
          <w:rFonts w:ascii="Times New Roman" w:eastAsiaTheme="minorEastAsia" w:hAnsi="Times New Roman"/>
          <w:i/>
          <w:iCs/>
        </w:rPr>
        <w:t>M</w:t>
      </w:r>
      <w:r w:rsidRPr="00CA61FE">
        <w:rPr>
          <w:rFonts w:ascii="Times New Roman" w:eastAsiaTheme="minorEastAsia" w:hAnsi="Times New Roman"/>
          <w:iCs/>
        </w:rPr>
        <w:t xml:space="preserve"> </w:t>
      </w:r>
      <w:r w:rsidR="00316425">
        <w:rPr>
          <w:rFonts w:ascii="Times New Roman" w:eastAsiaTheme="minorEastAsia" w:hAnsi="Times New Roman"/>
          <w:iCs/>
        </w:rPr>
        <w:t xml:space="preserve"> </w:t>
      </w:r>
      <w:r w:rsidRPr="00CA61FE">
        <w:rPr>
          <w:rFonts w:ascii="Times New Roman" w:eastAsiaTheme="minorEastAsia" w:hAnsi="Times New Roman"/>
          <w:iCs/>
        </w:rPr>
        <w:t xml:space="preserve">basis vectors are dynamically </w:t>
      </w:r>
      <w:r w:rsidRPr="00513C18">
        <w:rPr>
          <w:rFonts w:ascii="Times New Roman" w:eastAsiaTheme="minorEastAsia" w:hAnsi="Times New Roman"/>
          <w:iCs/>
        </w:rPr>
        <w:t xml:space="preserve">selected </w:t>
      </w:r>
      <w:r w:rsidRPr="00513C18">
        <w:rPr>
          <w:rFonts w:ascii="Times New Roman" w:hAnsi="Times New Roman"/>
        </w:rPr>
        <w:t>(hence reported with CSI)</w:t>
      </w:r>
    </w:p>
    <w:p w:rsidR="004F0E5C" w:rsidRPr="00D54D59" w:rsidRDefault="004F0E5C" w:rsidP="004F0E5C">
      <w:r>
        <w:lastRenderedPageBreak/>
        <w:t xml:space="preserve">This alternative uses </w:t>
      </w:r>
      <w:r w:rsidR="00D54D59">
        <w:t xml:space="preserve">a common </w:t>
      </w:r>
      <w:r>
        <w:t>basis set across all beams with the size of the set higher-layer configured and the members of the set b</w:t>
      </w:r>
      <w:r w:rsidR="00D54D59">
        <w:t xml:space="preserve">eing determined by the UE.  The common basis set can be found by, for example, computing the energy of each basis vector summed across beams or, alternatively, by finding the basis vectors that have the highest average or median ranking within </w:t>
      </w:r>
      <w:r w:rsidR="00DD4B4D">
        <w:t>beams.   Indication of the</w:t>
      </w:r>
      <w:r w:rsidR="00D54D59">
        <w:t xml:space="preserve"> size </w:t>
      </w:r>
      <w:r w:rsidR="00D54D59">
        <w:rPr>
          <w:i/>
        </w:rPr>
        <w:t xml:space="preserve">M </w:t>
      </w:r>
      <w:r w:rsidR="00D54D59">
        <w:t xml:space="preserve"> basis set requires </w:t>
      </w:r>
      <m:oMath>
        <m:r>
          <m:rPr>
            <m:nor/>
          </m:rPr>
          <w:rPr>
            <w:rFonts w:ascii="Cambria Math" w:hAnsi="Cambria Math"/>
          </w:rPr>
          <m:t>ceil</m:t>
        </m:r>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e>
                      </m:mr>
                      <m:mr>
                        <m:e>
                          <m:r>
                            <w:rPr>
                              <w:rFonts w:ascii="Cambria Math" w:hAnsi="Cambria Math"/>
                            </w:rPr>
                            <m:t>M</m:t>
                          </m:r>
                        </m:e>
                      </m:mr>
                    </m:m>
                  </m:e>
                </m:d>
              </m:e>
            </m:func>
          </m:e>
        </m:d>
      </m:oMath>
      <w:r w:rsidR="00DD4B4D">
        <w:t xml:space="preserve"> overhead bits.  The total </w:t>
      </w:r>
      <w:r w:rsidR="00FB6533">
        <w:t xml:space="preserve">rank 1 </w:t>
      </w:r>
      <w:r w:rsidR="00DD4B4D">
        <w:t xml:space="preserve">overhead calculation for Alt 1A is given in </w:t>
      </w:r>
      <w:r w:rsidR="00DD4B4D">
        <w:fldChar w:fldCharType="begin"/>
      </w:r>
      <w:r w:rsidR="00DD4B4D">
        <w:instrText xml:space="preserve"> REF _Ref534725831 \h </w:instrText>
      </w:r>
      <w:r w:rsidR="00DD4B4D">
        <w:fldChar w:fldCharType="separate"/>
      </w:r>
      <w:r w:rsidR="00DD4B4D">
        <w:t xml:space="preserve">Table </w:t>
      </w:r>
      <w:r w:rsidR="00DD4B4D">
        <w:rPr>
          <w:noProof/>
        </w:rPr>
        <w:t>1</w:t>
      </w:r>
      <w:r w:rsidR="00DD4B4D">
        <w:fldChar w:fldCharType="end"/>
      </w:r>
      <w:r w:rsidR="00DD4B4D">
        <w:t>.</w:t>
      </w:r>
    </w:p>
    <w:p w:rsidR="00E77FEB" w:rsidRDefault="00E77FEB" w:rsidP="00E77FEB">
      <w:pPr>
        <w:pStyle w:val="Caption"/>
        <w:keepNext/>
      </w:pPr>
      <w:bookmarkStart w:id="1" w:name="_Ref534725831"/>
      <w:r>
        <w:t xml:space="preserve">Table </w:t>
      </w:r>
      <w:r>
        <w:fldChar w:fldCharType="begin"/>
      </w:r>
      <w:r>
        <w:instrText xml:space="preserve"> SEQ Table \* ARABIC </w:instrText>
      </w:r>
      <w:r>
        <w:fldChar w:fldCharType="separate"/>
      </w:r>
      <w:r w:rsidR="001A0455">
        <w:rPr>
          <w:noProof/>
        </w:rPr>
        <w:t>1</w:t>
      </w:r>
      <w:r>
        <w:fldChar w:fldCharType="end"/>
      </w:r>
      <w:bookmarkEnd w:id="1"/>
      <w:r>
        <w:t>:</w:t>
      </w:r>
      <w:r w:rsidR="00DD4B4D">
        <w:t xml:space="preserve"> Overhead calculation for Alt 1A</w:t>
      </w:r>
    </w:p>
    <w:tbl>
      <w:tblPr>
        <w:tblW w:w="0" w:type="auto"/>
        <w:jc w:val="center"/>
        <w:tblLook w:val="04A0" w:firstRow="1" w:lastRow="0" w:firstColumn="1" w:lastColumn="0" w:noHBand="0" w:noVBand="1"/>
      </w:tblPr>
      <w:tblGrid>
        <w:gridCol w:w="383"/>
        <w:gridCol w:w="1142"/>
        <w:gridCol w:w="1170"/>
        <w:gridCol w:w="1022"/>
        <w:gridCol w:w="1228"/>
        <w:gridCol w:w="1440"/>
        <w:gridCol w:w="1170"/>
      </w:tblGrid>
      <w:tr w:rsidR="00E77FEB" w:rsidRPr="00025F9C" w:rsidTr="00951751">
        <w:trPr>
          <w:trHeight w:val="308"/>
          <w:jc w:val="center"/>
        </w:trPr>
        <w:tc>
          <w:tcPr>
            <w:tcW w:w="7555" w:type="dxa"/>
            <w:gridSpan w:val="7"/>
            <w:tcBorders>
              <w:top w:val="single" w:sz="4" w:space="0" w:color="auto"/>
              <w:left w:val="single" w:sz="4" w:space="0" w:color="auto"/>
              <w:bottom w:val="single" w:sz="4" w:space="0" w:color="auto"/>
              <w:right w:val="single" w:sz="4" w:space="0" w:color="auto"/>
            </w:tcBorders>
            <w:shd w:val="clear" w:color="000000" w:fill="9BC2E6"/>
            <w:noWrap/>
            <w:vAlign w:val="bottom"/>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Alt 1A</w:t>
            </w:r>
          </w:p>
        </w:tc>
      </w:tr>
      <w:tr w:rsidR="00E77FEB" w:rsidRPr="00025F9C" w:rsidTr="00951751">
        <w:trPr>
          <w:trHeight w:val="1237"/>
          <w:jc w:val="center"/>
        </w:trPr>
        <w:tc>
          <w:tcPr>
            <w:tcW w:w="0" w:type="auto"/>
            <w:tcBorders>
              <w:top w:val="nil"/>
              <w:left w:val="single" w:sz="4" w:space="0" w:color="auto"/>
              <w:bottom w:val="single" w:sz="4" w:space="0" w:color="auto"/>
              <w:right w:val="single" w:sz="4" w:space="0" w:color="auto"/>
            </w:tcBorders>
            <w:shd w:val="clear" w:color="000000" w:fill="9BC2E6"/>
            <w:noWrap/>
            <w:vAlign w:val="center"/>
            <w:hideMark/>
          </w:tcPr>
          <w:p w:rsidR="00E77FEB" w:rsidRPr="00025F9C" w:rsidRDefault="00E77FEB" w:rsidP="00951751">
            <w:pPr>
              <w:spacing w:before="0" w:after="0" w:line="240" w:lineRule="auto"/>
              <w:jc w:val="left"/>
              <w:rPr>
                <w:rFonts w:eastAsia="Times New Roman"/>
                <w:i/>
                <w:iCs/>
                <w:color w:val="000000"/>
                <w:szCs w:val="22"/>
              </w:rPr>
            </w:pPr>
            <w:r w:rsidRPr="00025F9C">
              <w:rPr>
                <w:rFonts w:eastAsia="Times New Roman"/>
                <w:i/>
                <w:iCs/>
                <w:color w:val="000000"/>
                <w:szCs w:val="22"/>
              </w:rPr>
              <w:t>M</w:t>
            </w:r>
          </w:p>
        </w:tc>
        <w:tc>
          <w:tcPr>
            <w:tcW w:w="1142"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beam selection + rotation</w:t>
            </w:r>
          </w:p>
        </w:tc>
        <w:tc>
          <w:tcPr>
            <w:tcW w:w="1170"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over-</w:t>
            </w:r>
            <w:r w:rsidRPr="00025F9C">
              <w:rPr>
                <w:rFonts w:ascii="Calibri" w:eastAsia="Times New Roman" w:hAnsi="Calibri" w:cs="Calibri"/>
                <w:color w:val="000000"/>
                <w:szCs w:val="22"/>
              </w:rPr>
              <w:br/>
              <w:t>sampling</w:t>
            </w:r>
            <w:r w:rsidRPr="00025F9C">
              <w:rPr>
                <w:rFonts w:ascii="Calibri" w:eastAsia="Times New Roman" w:hAnsi="Calibri" w:cs="Calibri"/>
                <w:color w:val="000000"/>
                <w:szCs w:val="22"/>
              </w:rPr>
              <w:br/>
              <w:t>indication</w:t>
            </w:r>
          </w:p>
        </w:tc>
        <w:tc>
          <w:tcPr>
            <w:tcW w:w="1022"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max Beam indication</w:t>
            </w:r>
          </w:p>
        </w:tc>
        <w:tc>
          <w:tcPr>
            <w:tcW w:w="1228"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basis set  indication overhead</w:t>
            </w:r>
          </w:p>
        </w:tc>
        <w:tc>
          <w:tcPr>
            <w:tcW w:w="1440"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amp/phase overhead</w:t>
            </w:r>
          </w:p>
        </w:tc>
        <w:tc>
          <w:tcPr>
            <w:tcW w:w="1170" w:type="dxa"/>
            <w:tcBorders>
              <w:top w:val="nil"/>
              <w:left w:val="nil"/>
              <w:bottom w:val="single" w:sz="4" w:space="0" w:color="auto"/>
              <w:right w:val="single" w:sz="4" w:space="0" w:color="auto"/>
            </w:tcBorders>
            <w:shd w:val="clear" w:color="000000" w:fill="9BC2E6"/>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 xml:space="preserve">total </w:t>
            </w:r>
            <w:r w:rsidRPr="00025F9C">
              <w:rPr>
                <w:rFonts w:ascii="Calibri" w:eastAsia="Times New Roman" w:hAnsi="Calibri" w:cs="Calibri"/>
                <w:color w:val="000000"/>
                <w:szCs w:val="22"/>
              </w:rPr>
              <w:br/>
              <w:t>overhead</w:t>
            </w:r>
          </w:p>
        </w:tc>
      </w:tr>
      <w:tr w:rsidR="00E77FEB" w:rsidRPr="00025F9C" w:rsidTr="00951751">
        <w:trPr>
          <w:trHeight w:val="30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w:t>
            </w:r>
          </w:p>
        </w:tc>
        <w:tc>
          <w:tcPr>
            <w:tcW w:w="114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w:t>
            </w:r>
          </w:p>
        </w:tc>
        <w:tc>
          <w:tcPr>
            <w:tcW w:w="117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w:t>
            </w:r>
          </w:p>
        </w:tc>
        <w:tc>
          <w:tcPr>
            <w:tcW w:w="102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3</w:t>
            </w:r>
          </w:p>
        </w:tc>
        <w:tc>
          <w:tcPr>
            <w:tcW w:w="1228"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7</w:t>
            </w:r>
          </w:p>
        </w:tc>
        <w:tc>
          <w:tcPr>
            <w:tcW w:w="144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96</w:t>
            </w:r>
          </w:p>
        </w:tc>
        <w:tc>
          <w:tcPr>
            <w:tcW w:w="1170" w:type="dxa"/>
            <w:tcBorders>
              <w:top w:val="nil"/>
              <w:left w:val="nil"/>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119</w:t>
            </w:r>
          </w:p>
        </w:tc>
      </w:tr>
      <w:tr w:rsidR="00E77FEB" w:rsidRPr="00025F9C" w:rsidTr="00951751">
        <w:trPr>
          <w:trHeight w:val="30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3</w:t>
            </w:r>
          </w:p>
        </w:tc>
        <w:tc>
          <w:tcPr>
            <w:tcW w:w="114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w:t>
            </w:r>
          </w:p>
        </w:tc>
        <w:tc>
          <w:tcPr>
            <w:tcW w:w="117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w:t>
            </w:r>
          </w:p>
        </w:tc>
        <w:tc>
          <w:tcPr>
            <w:tcW w:w="102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3</w:t>
            </w:r>
          </w:p>
        </w:tc>
        <w:tc>
          <w:tcPr>
            <w:tcW w:w="1228"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9</w:t>
            </w:r>
          </w:p>
        </w:tc>
        <w:tc>
          <w:tcPr>
            <w:tcW w:w="144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144</w:t>
            </w:r>
          </w:p>
        </w:tc>
        <w:tc>
          <w:tcPr>
            <w:tcW w:w="1170" w:type="dxa"/>
            <w:tcBorders>
              <w:top w:val="nil"/>
              <w:left w:val="nil"/>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169</w:t>
            </w:r>
          </w:p>
        </w:tc>
      </w:tr>
      <w:tr w:rsidR="00E77FEB" w:rsidRPr="00025F9C" w:rsidTr="00951751">
        <w:trPr>
          <w:trHeight w:val="30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4</w:t>
            </w:r>
          </w:p>
        </w:tc>
        <w:tc>
          <w:tcPr>
            <w:tcW w:w="114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w:t>
            </w:r>
          </w:p>
        </w:tc>
        <w:tc>
          <w:tcPr>
            <w:tcW w:w="117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w:t>
            </w:r>
          </w:p>
        </w:tc>
        <w:tc>
          <w:tcPr>
            <w:tcW w:w="102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3</w:t>
            </w:r>
          </w:p>
        </w:tc>
        <w:tc>
          <w:tcPr>
            <w:tcW w:w="1228"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10</w:t>
            </w:r>
          </w:p>
        </w:tc>
        <w:tc>
          <w:tcPr>
            <w:tcW w:w="144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192</w:t>
            </w:r>
          </w:p>
        </w:tc>
        <w:tc>
          <w:tcPr>
            <w:tcW w:w="1170" w:type="dxa"/>
            <w:tcBorders>
              <w:top w:val="nil"/>
              <w:left w:val="nil"/>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218</w:t>
            </w:r>
          </w:p>
        </w:tc>
      </w:tr>
      <w:tr w:rsidR="00E77FEB" w:rsidRPr="00025F9C" w:rsidTr="00951751">
        <w:trPr>
          <w:trHeight w:val="30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5</w:t>
            </w:r>
          </w:p>
        </w:tc>
        <w:tc>
          <w:tcPr>
            <w:tcW w:w="114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w:t>
            </w:r>
          </w:p>
        </w:tc>
        <w:tc>
          <w:tcPr>
            <w:tcW w:w="117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w:t>
            </w:r>
          </w:p>
        </w:tc>
        <w:tc>
          <w:tcPr>
            <w:tcW w:w="1022"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3</w:t>
            </w:r>
          </w:p>
        </w:tc>
        <w:tc>
          <w:tcPr>
            <w:tcW w:w="1228"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11</w:t>
            </w:r>
          </w:p>
        </w:tc>
        <w:tc>
          <w:tcPr>
            <w:tcW w:w="1440" w:type="dxa"/>
            <w:tcBorders>
              <w:top w:val="nil"/>
              <w:left w:val="nil"/>
              <w:bottom w:val="single" w:sz="4" w:space="0" w:color="auto"/>
              <w:right w:val="single" w:sz="4" w:space="0" w:color="auto"/>
            </w:tcBorders>
            <w:shd w:val="clear" w:color="auto" w:fill="auto"/>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240</w:t>
            </w:r>
          </w:p>
        </w:tc>
        <w:tc>
          <w:tcPr>
            <w:tcW w:w="1170" w:type="dxa"/>
            <w:tcBorders>
              <w:top w:val="nil"/>
              <w:left w:val="nil"/>
              <w:bottom w:val="single" w:sz="4" w:space="0" w:color="auto"/>
              <w:right w:val="single" w:sz="4" w:space="0" w:color="auto"/>
            </w:tcBorders>
            <w:shd w:val="clear" w:color="auto" w:fill="auto"/>
            <w:noWrap/>
            <w:vAlign w:val="center"/>
            <w:hideMark/>
          </w:tcPr>
          <w:p w:rsidR="00E77FEB" w:rsidRPr="00025F9C" w:rsidRDefault="00E77FEB" w:rsidP="00951751">
            <w:pPr>
              <w:spacing w:before="0" w:after="0" w:line="240" w:lineRule="auto"/>
              <w:jc w:val="center"/>
              <w:rPr>
                <w:rFonts w:ascii="Calibri" w:eastAsia="Times New Roman" w:hAnsi="Calibri" w:cs="Calibri"/>
                <w:color w:val="000000"/>
                <w:szCs w:val="22"/>
              </w:rPr>
            </w:pPr>
            <w:r w:rsidRPr="00025F9C">
              <w:rPr>
                <w:rFonts w:ascii="Calibri" w:eastAsia="Times New Roman" w:hAnsi="Calibri" w:cs="Calibri"/>
                <w:color w:val="000000"/>
                <w:szCs w:val="22"/>
              </w:rPr>
              <w:t>267</w:t>
            </w:r>
          </w:p>
        </w:tc>
      </w:tr>
    </w:tbl>
    <w:p w:rsidR="00E77FEB" w:rsidRPr="00CF0A12" w:rsidRDefault="00E77FEB" w:rsidP="00CF0A12">
      <w:pPr>
        <w:spacing w:line="288" w:lineRule="auto"/>
        <w:ind w:left="1080"/>
        <w:contextualSpacing/>
      </w:pPr>
    </w:p>
    <w:p w:rsidR="00DB2C78" w:rsidRDefault="00F27D9C" w:rsidP="00DB2C78">
      <w:pPr>
        <w:pStyle w:val="Heading2"/>
      </w:pPr>
      <w:bookmarkStart w:id="2" w:name="_Ref534978652"/>
      <w:r>
        <w:t xml:space="preserve">Alt 1B: </w:t>
      </w:r>
      <w:r w:rsidR="00DB2C78" w:rsidRPr="00DB2C78">
        <w:t xml:space="preserve">Common basis </w:t>
      </w:r>
      <w:r w:rsidR="00DB2C78">
        <w:t xml:space="preserve">vectors </w:t>
      </w:r>
      <w:r w:rsidR="00DB2C78" w:rsidRPr="00DB2C78">
        <w:t>with subset selection</w:t>
      </w:r>
      <w:bookmarkEnd w:id="2"/>
    </w:p>
    <w:p w:rsidR="00BA50D0" w:rsidRPr="00BA50D0" w:rsidRDefault="00BA50D0" w:rsidP="00BA50D0">
      <w:r>
        <w:t>Alt 1B is defined as follows:</w:t>
      </w:r>
    </w:p>
    <w:p w:rsidR="00C6604E" w:rsidRPr="00891C8F" w:rsidRDefault="00C6604E" w:rsidP="00C6604E">
      <w:pPr>
        <w:pStyle w:val="ListParagraph"/>
        <w:numPr>
          <w:ilvl w:val="0"/>
          <w:numId w:val="41"/>
        </w:numPr>
        <w:spacing w:after="60" w:line="288" w:lineRule="auto"/>
        <w:ind w:leftChars="0"/>
        <w:contextualSpacing/>
        <w:jc w:val="both"/>
        <w:rPr>
          <w:rFonts w:ascii="Times New Roman" w:hAnsi="Times New Roman"/>
        </w:rPr>
      </w:pPr>
      <w:r w:rsidRPr="00891C8F">
        <w:rPr>
          <w:rFonts w:ascii="Times New Roman" w:hAnsi="Times New Roman"/>
        </w:rPr>
        <w:t>Alt1B. Common selection for all the 2</w:t>
      </w:r>
      <w:r w:rsidRPr="003A7AC2">
        <w:rPr>
          <w:rFonts w:ascii="Times New Roman" w:hAnsi="Times New Roman"/>
          <w:i/>
        </w:rPr>
        <w:t>L</w:t>
      </w:r>
      <w:r w:rsidRPr="00891C8F">
        <w:rPr>
          <w:rFonts w:ascii="Times New Roman" w:hAnsi="Times New Roman"/>
        </w:rPr>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rPr>
          <w:rFonts w:ascii="Times New Roman" w:hAnsi="Times New Roman"/>
        </w:rPr>
        <w:t xml:space="preserve"> subset of coefficients are reported (not reported coefficients are treated as zero) </w:t>
      </w:r>
    </w:p>
    <w:p w:rsidR="00C6604E" w:rsidRPr="00891C8F" w:rsidRDefault="00150894" w:rsidP="00C6604E">
      <w:pPr>
        <w:pStyle w:val="Style1"/>
        <w:numPr>
          <w:ilvl w:val="1"/>
          <w:numId w:val="41"/>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C6604E" w:rsidRPr="00891C8F" w:rsidRDefault="00150894" w:rsidP="00C6604E">
      <w:pPr>
        <w:pStyle w:val="ListParagraph"/>
        <w:numPr>
          <w:ilvl w:val="1"/>
          <w:numId w:val="41"/>
        </w:numPr>
        <w:spacing w:after="60" w:line="288" w:lineRule="auto"/>
        <w:ind w:leftChars="0"/>
        <w:contextualSpacing/>
        <w:jc w:val="both"/>
        <w:rPr>
          <w:rFonts w:ascii="Times New Roman" w:hAnsi="Times New Roman"/>
        </w:rPr>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C6604E" w:rsidRPr="00891C8F">
        <w:rPr>
          <w:rFonts w:ascii="Times New Roman" w:hAnsi="Times New Roman"/>
        </w:rPr>
        <w:t xml:space="preserve">  is composed of </w:t>
      </w:r>
      <m:oMath>
        <m:r>
          <w:rPr>
            <w:rFonts w:ascii="Cambria Math" w:hAnsi="Cambria Math"/>
          </w:rPr>
          <m:t>K=2LM</m:t>
        </m:r>
        <m:r>
          <m:rPr>
            <m:sty m:val="p"/>
          </m:rPr>
          <w:rPr>
            <w:rFonts w:ascii="Cambria Math" w:hAnsi="Cambria Math"/>
          </w:rPr>
          <m:t> </m:t>
        </m:r>
      </m:oMath>
      <w:r w:rsidR="00C6604E" w:rsidRPr="00891C8F">
        <w:rPr>
          <w:rFonts w:ascii="Times New Roman" w:eastAsiaTheme="minorEastAsia" w:hAnsi="Times New Roman"/>
        </w:rPr>
        <w:t>linear combination</w:t>
      </w:r>
      <w:r w:rsidR="00C6604E">
        <w:rPr>
          <w:rFonts w:ascii="Times New Roman" w:eastAsiaTheme="minorEastAsia" w:hAnsi="Times New Roman"/>
        </w:rPr>
        <w:t xml:space="preserve"> (LC)</w:t>
      </w:r>
      <w:r w:rsidR="00C6604E" w:rsidRPr="00891C8F">
        <w:rPr>
          <w:rFonts w:ascii="Times New Roman" w:eastAsiaTheme="minorEastAsia" w:hAnsi="Times New Roman"/>
        </w:rPr>
        <w:t xml:space="preserve">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C6604E" w:rsidRPr="00891C8F">
        <w:rPr>
          <w:rFonts w:ascii="Times New Roman" w:eastAsiaTheme="minorEastAsia" w:hAnsi="Times New Roman"/>
        </w:rPr>
        <w:t xml:space="preserve"> of its coefficients are zero</w:t>
      </w:r>
    </w:p>
    <w:p w:rsidR="00C6604E" w:rsidRPr="00891C8F" w:rsidRDefault="00C6604E" w:rsidP="00C6604E">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hAnsi="Times New Roman"/>
        </w:rPr>
        <w:t xml:space="preserve">The value of </w:t>
      </w:r>
      <m:oMath>
        <m:r>
          <w:rPr>
            <w:rFonts w:ascii="Cambria Math" w:hAnsi="Cambria Math"/>
          </w:rPr>
          <m:t>M</m:t>
        </m:r>
      </m:oMath>
      <w:r w:rsidRPr="00891C8F">
        <w:rPr>
          <w:rFonts w:ascii="Times New Roman" w:eastAsiaTheme="minorEastAsia" w:hAnsi="Times New Roman"/>
          <w:iCs/>
        </w:rPr>
        <w:t xml:space="preserve"> (applied to all 2</w:t>
      </w:r>
      <w:r w:rsidRPr="00CE3DD2">
        <w:rPr>
          <w:rFonts w:ascii="Times New Roman" w:eastAsiaTheme="minorEastAsia" w:hAnsi="Times New Roman"/>
          <w:i/>
          <w:iCs/>
        </w:rPr>
        <w:t>L</w:t>
      </w:r>
      <w:r w:rsidRPr="00891C8F">
        <w:rPr>
          <w:rFonts w:ascii="Times New Roman" w:eastAsiaTheme="minorEastAsia" w:hAnsi="Times New Roman"/>
          <w:iCs/>
        </w:rPr>
        <w:t xml:space="preserve"> beams) is higher-layer configured</w:t>
      </w:r>
      <w:r>
        <w:rPr>
          <w:rFonts w:ascii="Times New Roman" w:eastAsiaTheme="minorEastAsia" w:hAnsi="Times New Roman"/>
          <w:iCs/>
        </w:rPr>
        <w:t xml:space="preserve"> and </w:t>
      </w:r>
      <w:r w:rsidRPr="00CA61FE">
        <w:rPr>
          <w:rFonts w:ascii="Times New Roman" w:eastAsiaTheme="minorEastAsia" w:hAnsi="Times New Roman"/>
          <w:iCs/>
        </w:rPr>
        <w:t xml:space="preserve">the </w:t>
      </w:r>
      <w:r w:rsidRPr="00CA61FE">
        <w:rPr>
          <w:rFonts w:ascii="Times New Roman" w:eastAsiaTheme="minorEastAsia" w:hAnsi="Times New Roman"/>
          <w:i/>
          <w:iCs/>
        </w:rPr>
        <w:t>M</w:t>
      </w:r>
      <w:r w:rsidRPr="00CA61FE">
        <w:rPr>
          <w:rFonts w:ascii="Times New Roman" w:eastAsiaTheme="minorEastAsia" w:hAnsi="Times New Roman"/>
          <w:iCs/>
        </w:rPr>
        <w:t xml:space="preserve"> basis vectors are dynamically selected</w:t>
      </w:r>
      <w:r>
        <w:rPr>
          <w:rFonts w:ascii="Times New Roman" w:eastAsiaTheme="minorEastAsia" w:hAnsi="Times New Roman"/>
          <w:iCs/>
        </w:rPr>
        <w:t xml:space="preserve"> </w:t>
      </w:r>
      <w:r w:rsidRPr="00513C18">
        <w:rPr>
          <w:rFonts w:ascii="Times New Roman" w:hAnsi="Times New Roman"/>
        </w:rPr>
        <w:t>(hence reported with CSI)</w:t>
      </w:r>
    </w:p>
    <w:p w:rsidR="00C6604E" w:rsidRPr="00891C8F" w:rsidRDefault="00C6604E" w:rsidP="00C6604E">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hAnsi="Times New Roman"/>
        </w:rPr>
        <w:t xml:space="preserve">For evaluation, companies should state their assumption on </w:t>
      </w:r>
      <w:r>
        <w:rPr>
          <w:rFonts w:ascii="Times New Roman" w:hAnsi="Times New Roman"/>
        </w:rPr>
        <w:t xml:space="preserve">the selection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ascii="Times New Roman" w:hAnsi="Times New Roman"/>
        </w:rPr>
        <w:t xml:space="preserve"> </w:t>
      </w:r>
      <w:r>
        <w:rPr>
          <w:rFonts w:ascii="Times New Roman" w:hAnsi="Times New Roman"/>
        </w:rPr>
        <w:t>LC coefficients</w:t>
      </w:r>
      <w:r w:rsidRPr="00891C8F">
        <w:rPr>
          <w:rFonts w:ascii="Times New Roman" w:hAnsi="Times New Roman"/>
        </w:rPr>
        <w:t xml:space="preserve"> </w:t>
      </w:r>
      <w:r w:rsidRPr="00891C8F">
        <w:rPr>
          <w:rFonts w:ascii="Times New Roman" w:eastAsiaTheme="minorEastAsia" w:hAnsi="Times New Roman"/>
          <w:iCs/>
        </w:rPr>
        <w:t>(applied to all 2</w:t>
      </w:r>
      <w:r w:rsidRPr="009C2DD5">
        <w:rPr>
          <w:rFonts w:ascii="Times New Roman" w:eastAsiaTheme="minorEastAsia" w:hAnsi="Times New Roman"/>
          <w:i/>
          <w:iCs/>
        </w:rPr>
        <w:t>L</w:t>
      </w:r>
      <w:r w:rsidRPr="00891C8F">
        <w:rPr>
          <w:rFonts w:ascii="Times New Roman" w:eastAsiaTheme="minorEastAsia" w:hAnsi="Times New Roman"/>
          <w:iCs/>
        </w:rPr>
        <w:t xml:space="preserve"> beams)</w:t>
      </w:r>
      <w:r w:rsidRPr="00891C8F">
        <w:rPr>
          <w:rFonts w:ascii="Times New Roman" w:hAnsi="Times New Roman"/>
        </w:rPr>
        <w:t>, e.g.</w:t>
      </w:r>
    </w:p>
    <w:p w:rsidR="00C6604E" w:rsidRPr="00891C8F" w:rsidRDefault="00C6604E" w:rsidP="00C6604E">
      <w:pPr>
        <w:pStyle w:val="ListParagraph"/>
        <w:numPr>
          <w:ilvl w:val="2"/>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ascii="Times New Roman" w:eastAsiaTheme="minorEastAsia" w:hAnsi="Times New Roman"/>
          <w:iCs/>
          <w:lang w:val="sv-SE"/>
        </w:rPr>
        <w:t xml:space="preserve"> is fixed or higher-layer configured, and 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ascii="Times New Roman" w:eastAsiaTheme="minorEastAsia" w:hAnsi="Times New Roman"/>
          <w:iCs/>
          <w:lang w:val="sv-SE"/>
        </w:rPr>
        <w:t xml:space="preserve"> </w:t>
      </w:r>
      <w:r>
        <w:rPr>
          <w:rFonts w:ascii="Times New Roman" w:eastAsiaTheme="minorEastAsia" w:hAnsi="Times New Roman"/>
          <w:iCs/>
          <w:lang w:val="sv-SE"/>
        </w:rPr>
        <w:t>LC coefficients are</w:t>
      </w:r>
      <w:r w:rsidRPr="00891C8F">
        <w:rPr>
          <w:rFonts w:ascii="Times New Roman" w:eastAsiaTheme="minorEastAsia" w:hAnsi="Times New Roman"/>
          <w:iCs/>
          <w:lang w:val="sv-SE"/>
        </w:rPr>
        <w:t xml:space="preserve"> dynamically selected by the UE (hence reported with CSI), or</w:t>
      </w:r>
    </w:p>
    <w:p w:rsidR="00C53AB0" w:rsidRPr="00BA50D0" w:rsidRDefault="00C6604E" w:rsidP="00BA50D0">
      <w:pPr>
        <w:pStyle w:val="ListParagraph"/>
        <w:numPr>
          <w:ilvl w:val="2"/>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lang w:val="sv-SE"/>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ascii="Times New Roman" w:eastAsiaTheme="minorEastAsia" w:hAnsi="Times New Roman"/>
          <w:iCs/>
          <w:lang w:val="sv-SE"/>
        </w:rPr>
        <w:t xml:space="preserve"> </w:t>
      </w:r>
      <w:r>
        <w:rPr>
          <w:rFonts w:ascii="Times New Roman" w:eastAsiaTheme="minorEastAsia" w:hAnsi="Times New Roman"/>
          <w:iCs/>
          <w:lang w:val="sv-SE"/>
        </w:rPr>
        <w:t xml:space="preserve">LC coefficients </w:t>
      </w:r>
      <w:r w:rsidRPr="00891C8F">
        <w:rPr>
          <w:rFonts w:ascii="Times New Roman" w:eastAsiaTheme="minorEastAsia" w:hAnsi="Times New Roman"/>
          <w:iCs/>
          <w:lang w:val="sv-SE"/>
        </w:rPr>
        <w:t xml:space="preserve">and its size are dynamically selected by the UE (hence reported with CSI) </w:t>
      </w:r>
    </w:p>
    <w:p w:rsidR="00BA50D0" w:rsidRPr="00BA50D0" w:rsidRDefault="00BA50D0" w:rsidP="00BA50D0">
      <w:pPr>
        <w:pStyle w:val="ListParagraph"/>
        <w:numPr>
          <w:ilvl w:val="2"/>
          <w:numId w:val="41"/>
        </w:numPr>
        <w:spacing w:after="60" w:line="288" w:lineRule="auto"/>
        <w:ind w:leftChars="0"/>
        <w:contextualSpacing/>
        <w:jc w:val="both"/>
        <w:rPr>
          <w:rFonts w:ascii="Times New Roman" w:hAnsi="Times New Roman"/>
        </w:rPr>
      </w:pPr>
    </w:p>
    <w:p w:rsidR="008D5E9A" w:rsidRDefault="00C53AB0" w:rsidP="00C53AB0">
      <w:r>
        <w:t xml:space="preserve">Like Alt 1A, Alt 1B entails selection by the UE of </w:t>
      </w:r>
      <w:r w:rsidR="00163279">
        <w:t xml:space="preserve">a </w:t>
      </w:r>
      <w:r>
        <w:t xml:space="preserve">common basis whose size </w:t>
      </w:r>
      <w:r>
        <w:rPr>
          <w:i/>
        </w:rPr>
        <w:t>M</w:t>
      </w:r>
      <w:r>
        <w:t xml:space="preserve"> is configured by higher layers. A </w:t>
      </w:r>
      <w:r w:rsidRPr="00F27D9C">
        <w:rPr>
          <w:i/>
        </w:rPr>
        <w:t>K</w:t>
      </w:r>
      <w:r w:rsidRPr="00F27D9C">
        <w:rPr>
          <w:vertAlign w:val="subscript"/>
        </w:rPr>
        <w:t>0</w:t>
      </w:r>
      <w:r>
        <w:t>-sized subset of the 2</w:t>
      </w:r>
      <w:r>
        <w:rPr>
          <w:i/>
        </w:rPr>
        <w:t>LM</w:t>
      </w:r>
      <w:r>
        <w:t xml:space="preserve"> coefficients are selected by the UE and the remaining coefficients are zero. The value of  </w:t>
      </w:r>
      <w:r w:rsidRPr="00F27D9C">
        <w:rPr>
          <w:i/>
        </w:rPr>
        <w:t>K</w:t>
      </w:r>
      <w:r w:rsidRPr="00F27D9C">
        <w:rPr>
          <w:vertAlign w:val="subscript"/>
        </w:rPr>
        <w:t>0</w:t>
      </w:r>
      <w:r>
        <w:rPr>
          <w:vertAlign w:val="subscript"/>
        </w:rPr>
        <w:t xml:space="preserve"> </w:t>
      </w:r>
      <w:r w:rsidR="008D5E9A">
        <w:rPr>
          <w:vertAlign w:val="subscript"/>
        </w:rPr>
        <w:t xml:space="preserve"> </w:t>
      </w:r>
      <w:r>
        <w:t>can be either fixed</w:t>
      </w:r>
      <w:r w:rsidR="00163279">
        <w:t xml:space="preserve">, </w:t>
      </w:r>
      <w:r>
        <w:t>higher-layer configured</w:t>
      </w:r>
      <w:r w:rsidR="00163279">
        <w:t>,</w:t>
      </w:r>
      <w:r>
        <w:t xml:space="preserve"> or dynamically selected by the UE.</w:t>
      </w:r>
      <w:r w:rsidR="008D5E9A">
        <w:t xml:space="preserve">  An Alt 1B scheme therefore consists of three parts: </w:t>
      </w:r>
    </w:p>
    <w:p w:rsidR="008D5E9A" w:rsidRDefault="008D5E9A" w:rsidP="007D3CAF">
      <w:pPr>
        <w:keepNext/>
        <w:spacing w:before="120"/>
      </w:pPr>
      <w:r>
        <w:t xml:space="preserve">1) </w:t>
      </w:r>
      <w:r w:rsidRPr="008D5E9A">
        <w:rPr>
          <w:i/>
        </w:rPr>
        <w:t>Common basis selection</w:t>
      </w:r>
    </w:p>
    <w:p w:rsidR="008D5E9A" w:rsidRDefault="008D5E9A" w:rsidP="008D5E9A">
      <w:pPr>
        <w:jc w:val="left"/>
      </w:pPr>
      <w:r>
        <w:t xml:space="preserve">The same options for part 1) are available as for Alt 1A. </w:t>
      </w:r>
      <w:r>
        <w:br/>
        <w:t xml:space="preserve"> </w:t>
      </w:r>
    </w:p>
    <w:p w:rsidR="008D5E9A" w:rsidRDefault="008D5E9A" w:rsidP="008D5E9A">
      <w:pPr>
        <w:spacing w:line="288" w:lineRule="auto"/>
        <w:contextualSpacing/>
        <w:rPr>
          <w:i/>
        </w:rPr>
      </w:pPr>
      <w:r>
        <w:t xml:space="preserve">2) </w:t>
      </w:r>
      <w:r w:rsidRPr="008D5E9A">
        <w:rPr>
          <w:i/>
        </w:rPr>
        <w:t xml:space="preserve">Determination of </w:t>
      </w:r>
      <w:r w:rsidR="00C53AB0" w:rsidRPr="008D5E9A">
        <w:rPr>
          <w:i/>
        </w:rPr>
        <w:t xml:space="preserve"> </w:t>
      </w:r>
      <w:r w:rsidRPr="008D5E9A">
        <w:rPr>
          <w:i/>
        </w:rPr>
        <w:t>K</w:t>
      </w:r>
      <w:r w:rsidRPr="008D5E9A">
        <w:rPr>
          <w:i/>
          <w:vertAlign w:val="subscript"/>
        </w:rPr>
        <w:t>0</w:t>
      </w:r>
      <w:r w:rsidRPr="008D5E9A">
        <w:rPr>
          <w:i/>
        </w:rPr>
        <w:t>:</w:t>
      </w:r>
      <w:r>
        <w:t xml:space="preserve"> </w:t>
      </w:r>
      <w:r>
        <w:rPr>
          <w:i/>
        </w:rPr>
        <w:t>Dynamic vs. s</w:t>
      </w:r>
      <w:r w:rsidRPr="00B632E9">
        <w:rPr>
          <w:i/>
        </w:rPr>
        <w:t>tatic  number of coefficients K</w:t>
      </w:r>
      <w:r w:rsidRPr="00B632E9">
        <w:rPr>
          <w:i/>
          <w:vertAlign w:val="subscript"/>
        </w:rPr>
        <w:t>0</w:t>
      </w:r>
    </w:p>
    <w:p w:rsidR="00B56189" w:rsidRDefault="008D5E9A" w:rsidP="00B56189">
      <w:pPr>
        <w:spacing w:line="288" w:lineRule="auto"/>
        <w:contextualSpacing/>
        <w:jc w:val="left"/>
      </w:pPr>
      <w:r>
        <w:lastRenderedPageBreak/>
        <w:t xml:space="preserve">Dynamically selecting the number of coefficients, </w:t>
      </w:r>
      <w:r w:rsidRPr="00F27D9C">
        <w:rPr>
          <w:i/>
        </w:rPr>
        <w:t>K</w:t>
      </w:r>
      <w:r w:rsidRPr="00F27D9C">
        <w:rPr>
          <w:vertAlign w:val="subscript"/>
        </w:rPr>
        <w:t>0</w:t>
      </w:r>
      <w:r>
        <w:rPr>
          <w:i/>
        </w:rPr>
        <w:t xml:space="preserve">, </w:t>
      </w:r>
      <w:r>
        <w:t xml:space="preserve"> makes the coefficient payload vary dynamically and adds complexity to the signaling of the selected coefficients.  </w:t>
      </w:r>
      <w:r w:rsidR="00B56189">
        <w:t>These disadvantages could be outweighed when, for example, the distribution of coefficient energies within beams varies between being concentrated to a one or a few coefficients to being distributed more uniformly across a large</w:t>
      </w:r>
      <w:r w:rsidR="00E26E37">
        <w:t>r</w:t>
      </w:r>
      <w:r w:rsidR="00B56189">
        <w:t xml:space="preserve"> number of coefficients.  When such distributions vary in this way between channel realizations, the total number of coefficients needed to accurately  represent the frequency domain combining vector could vary.  However our </w:t>
      </w:r>
      <w:r w:rsidR="00E26E37">
        <w:t xml:space="preserve">observations of simulated channels </w:t>
      </w:r>
      <w:r w:rsidR="00B56189">
        <w:t xml:space="preserve">indicate that </w:t>
      </w:r>
      <w:r w:rsidR="00781DA7">
        <w:t xml:space="preserve"> beams tend have their energy concentrated in up to several coefficients and therefore there is little need for a dynamic number of coefficients.</w:t>
      </w:r>
    </w:p>
    <w:p w:rsidR="008D5E9A" w:rsidRPr="008D5E9A" w:rsidRDefault="008D5E9A" w:rsidP="001651EB">
      <w:pPr>
        <w:spacing w:line="288" w:lineRule="auto"/>
        <w:contextualSpacing/>
        <w:jc w:val="left"/>
        <w:rPr>
          <w:i/>
        </w:rPr>
      </w:pPr>
      <w:r>
        <w:br/>
        <w:t xml:space="preserve">3) </w:t>
      </w:r>
      <w:r w:rsidRPr="008D5E9A">
        <w:rPr>
          <w:i/>
        </w:rPr>
        <w:t>Selection of coefficients</w:t>
      </w:r>
    </w:p>
    <w:p w:rsidR="005C5310" w:rsidRDefault="00BF65EA" w:rsidP="00BF65EA">
      <w:pPr>
        <w:spacing w:line="288" w:lineRule="auto"/>
        <w:contextualSpacing/>
      </w:pPr>
      <w:r>
        <w:t xml:space="preserve">It is </w:t>
      </w:r>
      <w:r w:rsidR="005C5310">
        <w:t xml:space="preserve">expected that not all beams will </w:t>
      </w:r>
      <w:r>
        <w:t xml:space="preserve">carry equal energy and </w:t>
      </w:r>
      <w:r w:rsidR="00B632E9">
        <w:t xml:space="preserve">therefore each </w:t>
      </w:r>
      <w:r w:rsidR="005C5310">
        <w:t xml:space="preserve">beam </w:t>
      </w:r>
      <w:r w:rsidR="00B632E9">
        <w:t xml:space="preserve">need not be </w:t>
      </w:r>
      <w:r w:rsidR="005C5310">
        <w:t>represented with an</w:t>
      </w:r>
      <w:r w:rsidR="00C53AB0">
        <w:t xml:space="preserve"> equal number of coefficients. </w:t>
      </w:r>
      <w:r w:rsidR="00B632E9">
        <w:t xml:space="preserve">On the other hand, allowing all </w:t>
      </w:r>
      <w:r w:rsidR="00E26E37" w:rsidRPr="00F27D9C">
        <w:rPr>
          <w:i/>
        </w:rPr>
        <w:t>K</w:t>
      </w:r>
      <w:r w:rsidR="00E26E37" w:rsidRPr="00F27D9C">
        <w:rPr>
          <w:vertAlign w:val="subscript"/>
        </w:rPr>
        <w:t>0</w:t>
      </w:r>
      <w:r w:rsidR="00E26E37">
        <w:rPr>
          <w:vertAlign w:val="subscript"/>
        </w:rPr>
        <w:t xml:space="preserve"> </w:t>
      </w:r>
      <w:r w:rsidR="00B632E9">
        <w:t xml:space="preserve">coefficients to represent </w:t>
      </w:r>
      <w:r w:rsidR="00E26E37">
        <w:t xml:space="preserve">the </w:t>
      </w:r>
      <w:r w:rsidR="00B632E9">
        <w:t>bas</w:t>
      </w:r>
      <w:r w:rsidR="00E26E37">
        <w:t>is</w:t>
      </w:r>
      <w:r w:rsidR="00B632E9">
        <w:t xml:space="preserve"> of a single beam limits the </w:t>
      </w:r>
      <w:r w:rsidR="00E26E37">
        <w:t xml:space="preserve">possibility of </w:t>
      </w:r>
      <w:r w:rsidR="00B632E9">
        <w:t>parallelization of coefficient selection a</w:t>
      </w:r>
      <w:r w:rsidR="00577831">
        <w:t xml:space="preserve">t the UE.  In addition </w:t>
      </w:r>
      <w:r w:rsidR="005C5310">
        <w:t xml:space="preserve">allowing complete freedom for the UE to select the number of coefficients reported </w:t>
      </w:r>
      <w:r w:rsidR="00B632E9">
        <w:t>incurs higher overhead compared to tapering the</w:t>
      </w:r>
      <w:r w:rsidR="009534CC">
        <w:t xml:space="preserve"> number of reported base</w:t>
      </w:r>
      <w:r w:rsidR="00B15DF3">
        <w:t xml:space="preserve">s from the strongest beam down to the </w:t>
      </w:r>
      <w:r w:rsidR="00B632E9">
        <w:t>weakest beam in some fixed or higher-layered configured pattern.</w:t>
      </w:r>
      <w:r w:rsidR="00781DA7">
        <w:t xml:space="preserve">  </w:t>
      </w:r>
    </w:p>
    <w:p w:rsidR="00781DA7" w:rsidRDefault="00781DA7" w:rsidP="00BF65EA">
      <w:pPr>
        <w:spacing w:line="288" w:lineRule="auto"/>
        <w:contextualSpacing/>
      </w:pPr>
    </w:p>
    <w:p w:rsidR="006641F4" w:rsidRDefault="006641F4" w:rsidP="00BF65EA">
      <w:pPr>
        <w:spacing w:line="288" w:lineRule="auto"/>
        <w:contextualSpacing/>
      </w:pPr>
      <w:r>
        <w:t xml:space="preserve">The Alt 1B scheme that will be evaluated </w:t>
      </w:r>
      <w:r w:rsidR="001C4F5C">
        <w:t xml:space="preserve">in this contribution allocates </w:t>
      </w:r>
      <w:r w:rsidR="00E26E37">
        <w:t xml:space="preserve">a </w:t>
      </w:r>
      <w:r w:rsidR="001C4F5C">
        <w:t>fixed numbers of coefficients per beam</w:t>
      </w:r>
      <w:r w:rsidR="007A1592">
        <w:t xml:space="preserve">. Denoting the number of coefficients allocated for the strongest to the weakest beam as </w:t>
      </w:r>
      <w:r w:rsidR="001C4F5C" w:rsidRPr="00B27830">
        <w:rPr>
          <w:rFonts w:eastAsia="Times New Roman"/>
          <w:i/>
          <w:iCs/>
          <w:color w:val="000000"/>
        </w:rPr>
        <w:t>M</w:t>
      </w:r>
      <w:r w:rsidR="001C4F5C" w:rsidRPr="00B27830">
        <w:rPr>
          <w:rFonts w:eastAsia="Times New Roman"/>
          <w:i/>
          <w:iCs/>
          <w:color w:val="000000"/>
          <w:vertAlign w:val="subscript"/>
        </w:rPr>
        <w:t>i</w:t>
      </w:r>
      <w:r w:rsidR="001C4F5C">
        <w:t xml:space="preserve">, </w:t>
      </w:r>
      <w:r w:rsidR="001C4F5C">
        <w:rPr>
          <w:i/>
        </w:rPr>
        <w:t xml:space="preserve">i </w:t>
      </w:r>
      <w:r w:rsidR="001C4F5C">
        <w:t>= 1,2,…,2</w:t>
      </w:r>
      <w:r w:rsidR="001C4F5C">
        <w:rPr>
          <w:i/>
        </w:rPr>
        <w:t xml:space="preserve">L </w:t>
      </w:r>
      <w:r w:rsidR="001C4F5C">
        <w:t xml:space="preserve"> where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2L</m:t>
            </m:r>
          </m:sup>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e>
        </m:nary>
      </m:oMath>
      <w:r w:rsidR="007A1592">
        <w:t xml:space="preserve">.  </w:t>
      </w:r>
      <w:r>
        <w:t xml:space="preserve">Examples of a distribution of number of reported coefficients vs. beam is given in the first column of </w:t>
      </w:r>
      <w:r>
        <w:fldChar w:fldCharType="begin"/>
      </w:r>
      <w:r>
        <w:instrText xml:space="preserve"> REF _Ref534728699 \h </w:instrText>
      </w:r>
      <w:r>
        <w:fldChar w:fldCharType="separate"/>
      </w:r>
      <w:r>
        <w:t xml:space="preserve">Table </w:t>
      </w:r>
      <w:r>
        <w:rPr>
          <w:noProof/>
        </w:rPr>
        <w:t>2</w:t>
      </w:r>
      <w:r>
        <w:fldChar w:fldCharType="end"/>
      </w:r>
      <w:r w:rsidR="007A1592">
        <w:t>. In the first row, the strongest</w:t>
      </w:r>
      <w:r>
        <w:t xml:space="preserve"> beam</w:t>
      </w:r>
      <w:r w:rsidR="007A1592">
        <w:t>’</w:t>
      </w:r>
      <w:r>
        <w:t xml:space="preserve">s contribution to the total of </w:t>
      </w:r>
      <w:r w:rsidRPr="00B632E9">
        <w:rPr>
          <w:i/>
        </w:rPr>
        <w:t>K</w:t>
      </w:r>
      <w:r w:rsidRPr="00B632E9">
        <w:rPr>
          <w:i/>
          <w:vertAlign w:val="subscript"/>
        </w:rPr>
        <w:t>0</w:t>
      </w:r>
      <w:r>
        <w:rPr>
          <w:i/>
          <w:vertAlign w:val="subscript"/>
        </w:rPr>
        <w:t xml:space="preserve"> </w:t>
      </w:r>
      <w:r>
        <w:t xml:space="preserve"> coefficients is  </w:t>
      </w:r>
      <w:r w:rsidRPr="00B27830">
        <w:rPr>
          <w:rFonts w:eastAsia="Times New Roman"/>
          <w:i/>
          <w:iCs/>
          <w:color w:val="000000"/>
        </w:rPr>
        <w:t>M</w:t>
      </w:r>
      <w:r>
        <w:rPr>
          <w:rFonts w:eastAsia="Times New Roman"/>
          <w:i/>
          <w:iCs/>
          <w:color w:val="000000"/>
          <w:vertAlign w:val="subscript"/>
        </w:rPr>
        <w:t>1</w:t>
      </w:r>
      <w:r>
        <w:t xml:space="preserve"> = 3, </w:t>
      </w:r>
      <w:r w:rsidR="00E26E37">
        <w:t xml:space="preserve">the second strongest is </w:t>
      </w:r>
      <w:r w:rsidR="00E26E37" w:rsidRPr="00B27830">
        <w:rPr>
          <w:rFonts w:eastAsia="Times New Roman"/>
          <w:i/>
          <w:iCs/>
          <w:color w:val="000000"/>
        </w:rPr>
        <w:t>M</w:t>
      </w:r>
      <w:r w:rsidR="00E26E37">
        <w:rPr>
          <w:rFonts w:eastAsia="Times New Roman"/>
          <w:i/>
          <w:iCs/>
          <w:color w:val="000000"/>
          <w:vertAlign w:val="subscript"/>
        </w:rPr>
        <w:t>2</w:t>
      </w:r>
      <w:r w:rsidR="00E26E37">
        <w:t xml:space="preserve"> = 3, and the </w:t>
      </w:r>
      <w:r>
        <w:t xml:space="preserve"> third </w:t>
      </w:r>
      <w:r w:rsidR="00E26E37">
        <w:t xml:space="preserve">strongest </w:t>
      </w:r>
      <w:r>
        <w:t>beam</w:t>
      </w:r>
      <w:r w:rsidR="007A1592">
        <w:t xml:space="preserve"> </w:t>
      </w:r>
      <w:r>
        <w:t xml:space="preserve"> contribution is </w:t>
      </w:r>
      <w:r w:rsidRPr="00B27830">
        <w:rPr>
          <w:rFonts w:eastAsia="Times New Roman"/>
          <w:i/>
          <w:iCs/>
          <w:color w:val="000000"/>
        </w:rPr>
        <w:t>M</w:t>
      </w:r>
      <w:r>
        <w:rPr>
          <w:rFonts w:eastAsia="Times New Roman"/>
          <w:i/>
          <w:iCs/>
          <w:color w:val="000000"/>
          <w:vertAlign w:val="subscript"/>
        </w:rPr>
        <w:t>3</w:t>
      </w:r>
      <w:r>
        <w:t xml:space="preserve"> = 2, etc.  </w:t>
      </w:r>
      <w:r w:rsidR="007A1592">
        <w:t xml:space="preserve">Here the  strength of the beam is </w:t>
      </w:r>
      <w:r w:rsidR="00E26E37">
        <w:t xml:space="preserve">the sum of </w:t>
      </w:r>
      <w:r w:rsidR="007A1592">
        <w:t xml:space="preserve"> the </w:t>
      </w:r>
      <w:r w:rsidR="00E26E37">
        <w:t xml:space="preserve">square of the </w:t>
      </w:r>
      <w:r w:rsidR="003A2576">
        <w:rPr>
          <w:i/>
        </w:rPr>
        <w:t xml:space="preserve">M </w:t>
      </w:r>
      <w:r w:rsidR="007A1592">
        <w:t xml:space="preserve">coefficient </w:t>
      </w:r>
      <w:r w:rsidR="003A2576">
        <w:t xml:space="preserve">magnitudes. </w:t>
      </w:r>
    </w:p>
    <w:p w:rsidR="007A1592" w:rsidRDefault="007A1592" w:rsidP="00BF65EA">
      <w:pPr>
        <w:spacing w:line="288" w:lineRule="auto"/>
        <w:contextualSpacing/>
      </w:pPr>
    </w:p>
    <w:p w:rsidR="00951751" w:rsidRPr="00781DA7" w:rsidRDefault="007A1592" w:rsidP="00C333C8">
      <w:pPr>
        <w:spacing w:line="288" w:lineRule="auto"/>
        <w:contextualSpacing/>
      </w:pPr>
      <w:r>
        <w:t xml:space="preserve">This scheme’s </w:t>
      </w:r>
      <w:r w:rsidR="00FF4C2E">
        <w:t xml:space="preserve">rank 1 </w:t>
      </w:r>
      <w:r>
        <w:t xml:space="preserve">overhead calculation is given in </w:t>
      </w:r>
      <w:r>
        <w:fldChar w:fldCharType="begin"/>
      </w:r>
      <w:r>
        <w:instrText xml:space="preserve"> REF _Ref534728699 \h </w:instrText>
      </w:r>
      <w:r>
        <w:fldChar w:fldCharType="separate"/>
      </w:r>
      <w:r>
        <w:t xml:space="preserve">Table </w:t>
      </w:r>
      <w:r>
        <w:rPr>
          <w:noProof/>
        </w:rPr>
        <w:t>2</w:t>
      </w:r>
      <w:r>
        <w:fldChar w:fldCharType="end"/>
      </w:r>
      <w:r>
        <w:t xml:space="preserve">.  The number of bits for basis set indication </w:t>
      </w:r>
      <w:r w:rsidR="003A2576">
        <w:t xml:space="preserve">assumes a specific two-stage representation scheme.  In this scheme the basis set indication requires </w:t>
      </w:r>
      <m:oMath>
        <m:acc>
          <m:accPr>
            <m:ctrlPr>
              <w:rPr>
                <w:rFonts w:ascii="Cambria Math" w:hAnsi="Cambria Math"/>
                <w:i/>
              </w:rPr>
            </m:ctrlPr>
          </m:accPr>
          <m:e>
            <m:r>
              <w:rPr>
                <w:rFonts w:ascii="Cambria Math" w:hAnsi="Cambria Math"/>
              </w:rPr>
              <m:t>A</m:t>
            </m:r>
          </m:e>
        </m:acc>
      </m:oMath>
      <w:r w:rsidR="003A2576">
        <w:t xml:space="preserve">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2L</m:t>
            </m:r>
          </m:sup>
          <m:e>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M</m:t>
                    </m:r>
                  </m:e>
                  <m:sub>
                    <m:r>
                      <w:rPr>
                        <w:rFonts w:ascii="Cambria Math" w:hAnsi="Cambria Math"/>
                      </w:rPr>
                      <m:t>i</m:t>
                    </m:r>
                  </m:sub>
                </m:sSub>
              </m:e>
            </m:d>
          </m:e>
        </m:nary>
      </m:oMath>
      <w:r w:rsidR="003A2576">
        <w:t xml:space="preserve">.  </w:t>
      </w:r>
      <w:r w:rsidR="003A2576">
        <w:t xml:space="preserve"> Bit.</w:t>
      </w:r>
      <w:r w:rsidR="001176BB">
        <w:t xml:space="preserve">where </w:t>
      </w:r>
      <w:r w:rsidR="00416744">
        <w:t>the first level of quantized amplitude information</w:t>
      </w:r>
      <w:r w:rsidR="001176BB">
        <w:t xml:space="preserve"> con</w:t>
      </w:r>
      <w:r w:rsidR="00416744">
        <w:t>sists</w:t>
      </w:r>
      <w:r w:rsidR="001176BB">
        <w:t xml:space="preserve"> of </w:t>
      </w:r>
      <m:oMath>
        <m:acc>
          <m:accPr>
            <m:ctrlPr>
              <w:rPr>
                <w:rFonts w:ascii="Cambria Math" w:hAnsi="Cambria Math"/>
                <w:i/>
              </w:rPr>
            </m:ctrlPr>
          </m:accPr>
          <m:e>
            <m:r>
              <w:rPr>
                <w:rFonts w:ascii="Cambria Math" w:hAnsi="Cambria Math"/>
              </w:rPr>
              <m:t>A</m:t>
            </m:r>
          </m:e>
        </m:acc>
      </m:oMath>
      <w:r w:rsidR="001176BB">
        <w:t xml:space="preserve">  bits for all </w:t>
      </w:r>
      <w:r w:rsidR="00416744">
        <w:rPr>
          <w:i/>
        </w:rPr>
        <w:t xml:space="preserve">M </w:t>
      </w:r>
      <w:r w:rsidR="001176BB">
        <w:t xml:space="preserve">coefficients </w:t>
      </w:r>
      <w:r w:rsidR="00416744">
        <w:t>of the common set within</w:t>
      </w:r>
      <w:r w:rsidR="001176BB">
        <w:t xml:space="preserve"> a beam. For </w:t>
      </w:r>
      <w:r w:rsidR="00A16ED7">
        <w:t xml:space="preserve">the </w:t>
      </w:r>
      <w:r w:rsidR="001176BB">
        <w:t xml:space="preserve">example </w:t>
      </w:r>
      <w:r w:rsidR="00A16ED7">
        <w:t xml:space="preserve">in </w:t>
      </w:r>
      <w:r w:rsidR="00A16ED7">
        <w:fldChar w:fldCharType="begin"/>
      </w:r>
      <w:r w:rsidR="00A16ED7">
        <w:instrText xml:space="preserve"> REF _Ref534797883 \h </w:instrText>
      </w:r>
      <w:r w:rsidR="00A16ED7">
        <w:fldChar w:fldCharType="separate"/>
      </w:r>
      <w:r w:rsidR="00A16ED7">
        <w:t xml:space="preserve">Figure </w:t>
      </w:r>
      <w:r w:rsidR="00A16ED7">
        <w:rPr>
          <w:noProof/>
        </w:rPr>
        <w:t>1</w:t>
      </w:r>
      <w:r w:rsidR="00A16ED7">
        <w:fldChar w:fldCharType="end"/>
      </w:r>
      <w:r w:rsidR="003A2576">
        <w:t xml:space="preserve"> where</w:t>
      </w:r>
      <w:r w:rsidR="00A16ED7">
        <w:t xml:space="preserve"> </w:t>
      </w:r>
      <w:r w:rsidR="001176BB">
        <w:t xml:space="preserve">3 </w:t>
      </w:r>
      <w:r w:rsidR="003A2576">
        <w:t xml:space="preserve">total </w:t>
      </w:r>
      <w:r w:rsidR="001176BB">
        <w:t>bits of amplitude quantization</w:t>
      </w:r>
      <w:r w:rsidR="003A2576">
        <w:t xml:space="preserve"> are used</w:t>
      </w:r>
      <w:r w:rsidR="001176BB">
        <w:t xml:space="preserve">,  </w:t>
      </w:r>
      <m:oMath>
        <m:acc>
          <m:accPr>
            <m:ctrlPr>
              <w:rPr>
                <w:rFonts w:ascii="Cambria Math" w:hAnsi="Cambria Math"/>
                <w:i/>
              </w:rPr>
            </m:ctrlPr>
          </m:accPr>
          <m:e>
            <m:r>
              <w:rPr>
                <w:rFonts w:ascii="Cambria Math" w:hAnsi="Cambria Math"/>
              </w:rPr>
              <m:t>A</m:t>
            </m:r>
          </m:e>
        </m:acc>
        <m:r>
          <w:rPr>
            <w:rFonts w:ascii="Cambria Math" w:hAnsi="Cambria Math"/>
          </w:rPr>
          <m:t>=2</m:t>
        </m:r>
      </m:oMath>
      <w:r w:rsidR="001176BB">
        <w:t xml:space="preserve"> bits could be used to represent the coefficients of all the beams. </w:t>
      </w:r>
      <w:r w:rsidR="00951751">
        <w:t xml:space="preserve">By summing the square of the two-bit amplitudes of all coefficients within a beam, an approximation of the beam’s energy can be formed and from all of the beams’ </w:t>
      </w:r>
      <w:r w:rsidR="003A2576">
        <w:t xml:space="preserve">approximate </w:t>
      </w:r>
      <w:r w:rsidR="00951751">
        <w:t>energies, an ordering of the beam energies can be formed based</w:t>
      </w:r>
      <w:r w:rsidR="003A2576">
        <w:t>.</w:t>
      </w:r>
      <w:r w:rsidR="00951751">
        <w:t xml:space="preserve">.  From the beam ordering, the number of coefficients of the second-level quantization information signaled for each beam can be determined. The second-level quantization </w:t>
      </w:r>
      <w:r w:rsidR="00C333C8">
        <w:t xml:space="preserve">information is </w:t>
      </w:r>
      <w:r w:rsidR="00951751">
        <w:t>the least significant bit</w:t>
      </w:r>
      <w:r w:rsidR="00C333C8">
        <w:t>s of those coefficients with the highest 2-bit coefficient energy</w:t>
      </w:r>
      <w:r w:rsidR="00951751">
        <w:t xml:space="preserve"> </w:t>
      </w:r>
      <w:r w:rsidR="00C333C8">
        <w:t>within a beam. Combining the first and second level quantized amplitudes yields 3-bit coefficient amplitudes for</w:t>
      </w:r>
      <w:r w:rsidR="003A2576">
        <w:t xml:space="preserve"> </w:t>
      </w:r>
      <w:r w:rsidR="00C333C8">
        <w:t xml:space="preserve">beam </w:t>
      </w:r>
      <w:r w:rsidR="00C333C8">
        <w:rPr>
          <w:i/>
        </w:rPr>
        <w:t>i</w:t>
      </w:r>
      <w:r w:rsidR="00C333C8">
        <w:t xml:space="preserve">’s </w:t>
      </w:r>
      <w:r w:rsidR="003A2576">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3A2576">
        <w:t xml:space="preserve"> </w:t>
      </w:r>
      <w:r w:rsidR="00C333C8" w:rsidRPr="00C333C8">
        <w:t>coefficients</w:t>
      </w:r>
      <w:r w:rsidR="003A2576">
        <w:t>.</w:t>
      </w:r>
      <w:r w:rsidR="00951751">
        <w:tab/>
      </w:r>
      <w:r w:rsidR="00951751" w:rsidRPr="00951751">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14.15pt" o:ole="">
            <v:imagedata r:id="rId8" o:title=""/>
          </v:shape>
          <o:OLEObject Type="Embed" ProgID="Equation.DSMT4" ShapeID="_x0000_i1026" DrawAspect="Content" ObjectID="_1608753177" r:id="rId9"/>
        </w:object>
      </w:r>
      <w:r w:rsidR="00951751">
        <w:t xml:space="preserve"> </w:t>
      </w:r>
    </w:p>
    <w:p w:rsidR="00577831" w:rsidRDefault="00577831" w:rsidP="00BF65EA">
      <w:pPr>
        <w:spacing w:line="288" w:lineRule="auto"/>
        <w:contextualSpacing/>
      </w:pPr>
    </w:p>
    <w:p w:rsidR="00781DA7" w:rsidRDefault="00781DA7" w:rsidP="00781DA7">
      <w:pPr>
        <w:pStyle w:val="Caption"/>
        <w:keepNext/>
      </w:pPr>
      <w:bookmarkStart w:id="3" w:name="_Ref534728699"/>
      <w:r>
        <w:lastRenderedPageBreak/>
        <w:t xml:space="preserve">Table </w:t>
      </w:r>
      <w:r>
        <w:fldChar w:fldCharType="begin"/>
      </w:r>
      <w:r>
        <w:instrText xml:space="preserve"> SEQ Table \* ARABIC </w:instrText>
      </w:r>
      <w:r>
        <w:fldChar w:fldCharType="separate"/>
      </w:r>
      <w:r w:rsidR="001A0455">
        <w:rPr>
          <w:noProof/>
        </w:rPr>
        <w:t>2</w:t>
      </w:r>
      <w:r>
        <w:fldChar w:fldCharType="end"/>
      </w:r>
      <w:bookmarkEnd w:id="3"/>
      <w:r>
        <w:t>:</w:t>
      </w:r>
      <w:r w:rsidRPr="00781DA7">
        <w:t xml:space="preserve"> </w:t>
      </w:r>
      <w:r>
        <w:t>Overhead calculation for Alt 1B</w:t>
      </w:r>
    </w:p>
    <w:tbl>
      <w:tblPr>
        <w:tblW w:w="8095" w:type="dxa"/>
        <w:jc w:val="center"/>
        <w:tblLayout w:type="fixed"/>
        <w:tblLook w:val="04A0" w:firstRow="1" w:lastRow="0" w:firstColumn="1" w:lastColumn="0" w:noHBand="0" w:noVBand="1"/>
      </w:tblPr>
      <w:tblGrid>
        <w:gridCol w:w="1705"/>
        <w:gridCol w:w="990"/>
        <w:gridCol w:w="1080"/>
        <w:gridCol w:w="1080"/>
        <w:gridCol w:w="1080"/>
        <w:gridCol w:w="1170"/>
        <w:gridCol w:w="990"/>
      </w:tblGrid>
      <w:tr w:rsidR="00E77FEB" w:rsidRPr="00B27830" w:rsidTr="006641F4">
        <w:trPr>
          <w:cantSplit/>
          <w:trHeight w:val="305"/>
          <w:jc w:val="center"/>
        </w:trPr>
        <w:tc>
          <w:tcPr>
            <w:tcW w:w="8095"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E77FEB" w:rsidRPr="00B27830" w:rsidRDefault="00E77FEB" w:rsidP="00951751">
            <w:pPr>
              <w:keepNext/>
              <w:keepLines/>
              <w:spacing w:before="0" w:after="0" w:line="240" w:lineRule="auto"/>
              <w:jc w:val="center"/>
              <w:rPr>
                <w:rFonts w:ascii="Calibri" w:eastAsia="Times New Roman" w:hAnsi="Calibri" w:cs="Calibri"/>
                <w:b/>
                <w:color w:val="000000"/>
              </w:rPr>
            </w:pPr>
            <w:r>
              <w:rPr>
                <w:rFonts w:ascii="Calibri" w:eastAsia="Times New Roman" w:hAnsi="Calibri" w:cs="Calibri"/>
                <w:b/>
                <w:color w:val="000000"/>
              </w:rPr>
              <w:t>Alt 1B</w:t>
            </w:r>
          </w:p>
        </w:tc>
      </w:tr>
      <w:tr w:rsidR="006641F4" w:rsidRPr="00B27830" w:rsidTr="006641F4">
        <w:trPr>
          <w:cantSplit/>
          <w:trHeight w:val="1221"/>
          <w:jc w:val="center"/>
        </w:trPr>
        <w:tc>
          <w:tcPr>
            <w:tcW w:w="1705" w:type="dxa"/>
            <w:tcBorders>
              <w:top w:val="nil"/>
              <w:left w:val="single" w:sz="4" w:space="0" w:color="auto"/>
              <w:bottom w:val="single" w:sz="4" w:space="0" w:color="auto"/>
              <w:right w:val="single" w:sz="4" w:space="0" w:color="auto"/>
            </w:tcBorders>
            <w:shd w:val="clear" w:color="000000" w:fill="9BC2E6"/>
            <w:vAlign w:val="center"/>
            <w:hideMark/>
          </w:tcPr>
          <w:p w:rsidR="00E77FEB" w:rsidRPr="00B27830" w:rsidRDefault="00E77FEB" w:rsidP="00E26E37">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 xml:space="preserve">number of taps per beam, </w:t>
            </w:r>
            <w:r w:rsidRPr="00B27830">
              <w:rPr>
                <w:rFonts w:eastAsia="Times New Roman"/>
                <w:i/>
                <w:iCs/>
                <w:color w:val="000000"/>
              </w:rPr>
              <w:t>M</w:t>
            </w:r>
            <w:r w:rsidR="00E26E37">
              <w:rPr>
                <w:rFonts w:eastAsia="Times New Roman"/>
                <w:i/>
                <w:iCs/>
                <w:color w:val="000000"/>
                <w:vertAlign w:val="subscript"/>
              </w:rPr>
              <w:t>i</w:t>
            </w:r>
          </w:p>
        </w:tc>
        <w:tc>
          <w:tcPr>
            <w:tcW w:w="99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beam selection + rotation</w:t>
            </w:r>
          </w:p>
        </w:tc>
        <w:tc>
          <w:tcPr>
            <w:tcW w:w="108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over-</w:t>
            </w:r>
            <w:r w:rsidRPr="00B27830">
              <w:rPr>
                <w:rFonts w:ascii="Calibri" w:eastAsia="Times New Roman" w:hAnsi="Calibri" w:cs="Calibri"/>
                <w:color w:val="000000"/>
              </w:rPr>
              <w:br/>
              <w:t>sampling</w:t>
            </w:r>
            <w:r w:rsidRPr="00B27830">
              <w:rPr>
                <w:rFonts w:ascii="Calibri" w:eastAsia="Times New Roman" w:hAnsi="Calibri" w:cs="Calibri"/>
                <w:color w:val="000000"/>
              </w:rPr>
              <w:br/>
              <w:t>indication</w:t>
            </w:r>
          </w:p>
        </w:tc>
        <w:tc>
          <w:tcPr>
            <w:tcW w:w="108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max beam indication</w:t>
            </w:r>
          </w:p>
        </w:tc>
        <w:tc>
          <w:tcPr>
            <w:tcW w:w="108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basis set  indication overhead</w:t>
            </w:r>
          </w:p>
        </w:tc>
        <w:tc>
          <w:tcPr>
            <w:tcW w:w="117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amp/phase overhead</w:t>
            </w:r>
          </w:p>
        </w:tc>
        <w:tc>
          <w:tcPr>
            <w:tcW w:w="99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total overhead</w:t>
            </w:r>
          </w:p>
        </w:tc>
      </w:tr>
      <w:tr w:rsidR="00E77FEB" w:rsidRPr="00B27830" w:rsidTr="006641F4">
        <w:trPr>
          <w:cantSplit/>
          <w:trHeight w:val="30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keepNext/>
              <w:keepLines/>
              <w:spacing w:before="0" w:after="0" w:line="240" w:lineRule="auto"/>
              <w:jc w:val="center"/>
              <w:rPr>
                <w:rFonts w:eastAsia="Times New Roman"/>
                <w:color w:val="1F497D"/>
              </w:rPr>
            </w:pPr>
            <w:r w:rsidRPr="00B27830">
              <w:rPr>
                <w:rFonts w:eastAsia="Times New Roman"/>
                <w:color w:val="1F497D"/>
              </w:rPr>
              <w:t xml:space="preserve">[3 3 2 2 2 2 1 1] </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11</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23</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96</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135</w:t>
            </w:r>
          </w:p>
        </w:tc>
      </w:tr>
      <w:tr w:rsidR="00E77FEB" w:rsidRPr="00B27830" w:rsidTr="006641F4">
        <w:trPr>
          <w:cantSplit/>
          <w:trHeight w:val="30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keepNext/>
              <w:keepLines/>
              <w:spacing w:before="0" w:after="0" w:line="240" w:lineRule="auto"/>
              <w:jc w:val="center"/>
              <w:rPr>
                <w:rFonts w:eastAsia="Times New Roman"/>
                <w:color w:val="1F497D"/>
              </w:rPr>
            </w:pPr>
            <w:r w:rsidRPr="00B27830">
              <w:rPr>
                <w:rFonts w:eastAsia="Times New Roman"/>
                <w:color w:val="1F497D"/>
              </w:rPr>
              <w:t xml:space="preserve">[4 4 4 3 3 2 2 1] </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11</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26</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138</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180</w:t>
            </w:r>
          </w:p>
        </w:tc>
      </w:tr>
      <w:tr w:rsidR="00E77FEB" w:rsidRPr="00B27830" w:rsidTr="006641F4">
        <w:trPr>
          <w:cantSplit/>
          <w:trHeight w:val="30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keepNext/>
              <w:keepLines/>
              <w:spacing w:before="0" w:after="0" w:line="240" w:lineRule="auto"/>
              <w:jc w:val="center"/>
              <w:rPr>
                <w:rFonts w:eastAsia="Times New Roman"/>
                <w:color w:val="1F497D"/>
              </w:rPr>
            </w:pPr>
            <w:r w:rsidRPr="00B27830">
              <w:rPr>
                <w:rFonts w:eastAsia="Times New Roman"/>
                <w:color w:val="1F497D"/>
              </w:rPr>
              <w:t xml:space="preserve">[4 4 3 3 3 3 2 2] </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11</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24</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144</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rPr>
            </w:pPr>
            <w:r w:rsidRPr="00B27830">
              <w:rPr>
                <w:rFonts w:ascii="Calibri" w:eastAsia="Times New Roman" w:hAnsi="Calibri" w:cs="Calibri"/>
                <w:color w:val="000000"/>
              </w:rPr>
              <w:t>184</w:t>
            </w:r>
          </w:p>
        </w:tc>
      </w:tr>
      <w:tr w:rsidR="00E77FEB" w:rsidRPr="00B27830" w:rsidTr="006641F4">
        <w:trPr>
          <w:cantSplit/>
          <w:trHeight w:val="30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keepNext/>
              <w:keepLines/>
              <w:spacing w:before="0" w:after="0" w:line="240" w:lineRule="auto"/>
              <w:jc w:val="center"/>
              <w:rPr>
                <w:rFonts w:eastAsia="Times New Roman"/>
                <w:color w:val="1F497D"/>
                <w:szCs w:val="22"/>
              </w:rPr>
            </w:pPr>
            <w:r w:rsidRPr="00B27830">
              <w:rPr>
                <w:rFonts w:eastAsia="Times New Roman"/>
                <w:color w:val="1F497D"/>
                <w:szCs w:val="22"/>
              </w:rPr>
              <w:t xml:space="preserve"> [5 5 4 4 4 4 3 3]  </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11</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2</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25</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192</w:t>
            </w:r>
          </w:p>
        </w:tc>
        <w:tc>
          <w:tcPr>
            <w:tcW w:w="99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keepNext/>
              <w:keepLines/>
              <w:spacing w:before="0" w:after="0" w:line="240" w:lineRule="auto"/>
              <w:jc w:val="center"/>
              <w:rPr>
                <w:rFonts w:ascii="Calibri" w:eastAsia="Times New Roman" w:hAnsi="Calibri" w:cs="Calibri"/>
                <w:color w:val="000000"/>
                <w:szCs w:val="22"/>
              </w:rPr>
            </w:pPr>
            <w:r w:rsidRPr="00B27830">
              <w:rPr>
                <w:rFonts w:ascii="Calibri" w:eastAsia="Times New Roman" w:hAnsi="Calibri" w:cs="Calibri"/>
                <w:color w:val="000000"/>
                <w:szCs w:val="22"/>
              </w:rPr>
              <w:t>233</w:t>
            </w:r>
          </w:p>
        </w:tc>
      </w:tr>
    </w:tbl>
    <w:p w:rsidR="00577831" w:rsidRDefault="00577831" w:rsidP="00E77FEB">
      <w:pPr>
        <w:spacing w:line="288" w:lineRule="auto"/>
        <w:contextualSpacing/>
        <w:jc w:val="center"/>
      </w:pPr>
    </w:p>
    <w:p w:rsidR="00B15DF3" w:rsidRDefault="00B15DF3" w:rsidP="00BF65EA">
      <w:pPr>
        <w:spacing w:line="288" w:lineRule="auto"/>
        <w:contextualSpacing/>
      </w:pPr>
    </w:p>
    <w:p w:rsidR="00A16ED7" w:rsidRDefault="00A16ED7" w:rsidP="00A16ED7">
      <w:pPr>
        <w:keepNext/>
        <w:spacing w:line="288" w:lineRule="auto"/>
        <w:contextualSpacing/>
      </w:pPr>
      <w:r w:rsidRPr="00671B55">
        <w:rPr>
          <w:noProof/>
        </w:rPr>
        <w:drawing>
          <wp:inline distT="0" distB="0" distL="0" distR="0" wp14:anchorId="44EA16B5" wp14:editId="6375F98A">
            <wp:extent cx="5486400" cy="297355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973558"/>
                    </a:xfrm>
                    <a:prstGeom prst="rect">
                      <a:avLst/>
                    </a:prstGeom>
                    <a:noFill/>
                    <a:ln>
                      <a:noFill/>
                    </a:ln>
                  </pic:spPr>
                </pic:pic>
              </a:graphicData>
            </a:graphic>
          </wp:inline>
        </w:drawing>
      </w:r>
    </w:p>
    <w:p w:rsidR="00A16ED7" w:rsidRPr="00B15DF3" w:rsidRDefault="00A16ED7" w:rsidP="00A16ED7">
      <w:pPr>
        <w:pStyle w:val="Caption"/>
        <w:jc w:val="left"/>
      </w:pPr>
      <w:bookmarkStart w:id="4" w:name="_Ref534797883"/>
      <w:r>
        <w:t xml:space="preserve">Figure </w:t>
      </w:r>
      <w:r>
        <w:fldChar w:fldCharType="begin"/>
      </w:r>
      <w:r>
        <w:instrText xml:space="preserve"> SEQ Figure \* ARABIC </w:instrText>
      </w:r>
      <w:r>
        <w:fldChar w:fldCharType="separate"/>
      </w:r>
      <w:r w:rsidR="004D3D75">
        <w:rPr>
          <w:noProof/>
        </w:rPr>
        <w:t>1</w:t>
      </w:r>
      <w:r>
        <w:fldChar w:fldCharType="end"/>
      </w:r>
      <w:bookmarkEnd w:id="4"/>
      <w:r>
        <w:t xml:space="preserve">: a) Decomposing the coefficient amplitudes into the sum of first stage (2 bits) and second stage (1 bit) amplitudes. The first stage amplitudes are used to determine the </w:t>
      </w:r>
      <w:r w:rsidR="00D02D2A">
        <w:t xml:space="preserve">beam energies, </w:t>
      </w:r>
      <w:r w:rsidR="003A2576">
        <w:t xml:space="preserve">the </w:t>
      </w:r>
      <w:r>
        <w:t>ordering of the beams</w:t>
      </w:r>
      <w:r w:rsidR="00D02D2A">
        <w:t xml:space="preserve"> (shaded</w:t>
      </w:r>
      <w:r w:rsidR="00D02D2A">
        <w:t xml:space="preserve"> red for strongest beam, yellow for second strongest, blue for weakest</w:t>
      </w:r>
      <w:r w:rsidR="00D02D2A">
        <w:t>,</w:t>
      </w:r>
      <w:r>
        <w:t xml:space="preserve"> and coefficients with the largest amplitudes </w:t>
      </w:r>
      <w:r w:rsidR="00D02D2A">
        <w:t>within the beam</w:t>
      </w:r>
      <w:r>
        <w:t xml:space="preserve">). b) Representation of two fields used to indicate amplitude information. The first field is just the first stage amplitude information in a) and the second are the least significant bits of the highest amplitude coefficients in a beam ordered from highest to lowest </w:t>
      </w:r>
      <w:r w:rsidR="00D02D2A">
        <w:t xml:space="preserve">by index </w:t>
      </w:r>
      <w:r>
        <w:t>within a beam then strongest to weakest beam.</w:t>
      </w:r>
    </w:p>
    <w:p w:rsidR="005C5310" w:rsidRDefault="005C5310" w:rsidP="00BF65EA">
      <w:pPr>
        <w:spacing w:line="288" w:lineRule="auto"/>
        <w:contextualSpacing/>
      </w:pPr>
      <w:r>
        <w:t xml:space="preserve"> </w:t>
      </w:r>
    </w:p>
    <w:p w:rsidR="00BA50D0" w:rsidRDefault="00F27D9C" w:rsidP="00BA50D0">
      <w:pPr>
        <w:pStyle w:val="Heading2"/>
      </w:pPr>
      <w:bookmarkStart w:id="5" w:name="_Ref534996969"/>
      <w:r>
        <w:t xml:space="preserve">Alt 2: </w:t>
      </w:r>
      <w:r w:rsidR="00DB2C78">
        <w:t>Independent basis vector selection</w:t>
      </w:r>
      <w:bookmarkEnd w:id="5"/>
    </w:p>
    <w:p w:rsidR="00DB2C78" w:rsidRDefault="00BA50D0" w:rsidP="00BA50D0">
      <w:pPr>
        <w:pStyle w:val="Heading2"/>
        <w:numPr>
          <w:ilvl w:val="0"/>
          <w:numId w:val="0"/>
        </w:numPr>
      </w:pPr>
      <w:r w:rsidRPr="00BA50D0">
        <w:rPr>
          <w:rFonts w:ascii="Times New Roman" w:hAnsi="Times New Roman"/>
          <w:b w:val="0"/>
          <w:sz w:val="20"/>
        </w:rPr>
        <w:t>Alt 2 is defined as follows:</w:t>
      </w:r>
      <w:r w:rsidR="00DB2C78">
        <w:br/>
      </w:r>
    </w:p>
    <w:p w:rsidR="00C333C8" w:rsidRPr="00891C8F" w:rsidRDefault="00C333C8" w:rsidP="00C333C8">
      <w:pPr>
        <w:pStyle w:val="ListParagraph"/>
        <w:numPr>
          <w:ilvl w:val="0"/>
          <w:numId w:val="41"/>
        </w:numPr>
        <w:spacing w:after="60" w:line="288" w:lineRule="auto"/>
        <w:ind w:leftChars="0"/>
        <w:contextualSpacing/>
        <w:jc w:val="both"/>
        <w:rPr>
          <w:rFonts w:ascii="Times New Roman" w:hAnsi="Times New Roman"/>
        </w:rPr>
      </w:pPr>
      <w:r w:rsidRPr="00891C8F">
        <w:rPr>
          <w:rFonts w:ascii="Times New Roman" w:hAnsi="Times New Roman"/>
        </w:rPr>
        <w:t>Alt2. Independent selection for all the 2</w:t>
      </w:r>
      <w:r w:rsidRPr="0051358D">
        <w:rPr>
          <w:rFonts w:ascii="Times New Roman" w:hAnsi="Times New Roman"/>
          <w:i/>
        </w:rPr>
        <w:t>L</w:t>
      </w:r>
      <w:r w:rsidRPr="00891C8F">
        <w:rPr>
          <w:rFonts w:ascii="Times New Roman" w:hAnsi="Times New Roman"/>
        </w:rPr>
        <w:t xml:space="preserve">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w:t>
      </w:r>
      <w:r w:rsidRPr="00891C8F">
        <w:rPr>
          <w:rFonts w:ascii="Times New Roman" w:hAnsi="Times New Roman"/>
        </w:rPr>
        <w:t>coefficients are reported for the i-th beam (i=0, 1, …, 2</w:t>
      </w:r>
      <w:r w:rsidRPr="0051358D">
        <w:rPr>
          <w:rFonts w:ascii="Times New Roman" w:hAnsi="Times New Roman"/>
          <w:i/>
        </w:rPr>
        <w:t>L</w:t>
      </w:r>
      <w:r w:rsidRPr="00891C8F">
        <w:rPr>
          <w:rFonts w:ascii="Times New Roman" w:hAnsi="Times New Roman"/>
        </w:rPr>
        <w:t>-1)</w:t>
      </w:r>
    </w:p>
    <w:p w:rsidR="00C333C8" w:rsidRPr="00891C8F" w:rsidRDefault="00150894" w:rsidP="00C333C8">
      <w:pPr>
        <w:pStyle w:val="Style1"/>
        <w:numPr>
          <w:ilvl w:val="1"/>
          <w:numId w:val="41"/>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C333C8"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C333C8"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C333C8" w:rsidRPr="00891C8F">
        <w:rPr>
          <w:rFonts w:cs="Times New Roman"/>
          <w:sz w:val="22"/>
          <w:szCs w:val="22"/>
          <w:lang w:val="en-US"/>
        </w:rPr>
        <w:t xml:space="preserve"> frequency-domain components (per beam) are selected </w:t>
      </w:r>
    </w:p>
    <w:p w:rsidR="00C333C8" w:rsidRPr="00891C8F" w:rsidRDefault="00150894" w:rsidP="00C333C8">
      <w:pPr>
        <w:pStyle w:val="ListParagraph"/>
        <w:numPr>
          <w:ilvl w:val="1"/>
          <w:numId w:val="41"/>
        </w:numPr>
        <w:spacing w:after="60" w:line="288" w:lineRule="auto"/>
        <w:ind w:leftChars="0"/>
        <w:contextualSpacing/>
        <w:jc w:val="both"/>
        <w:rPr>
          <w:rFonts w:ascii="Times New Roman" w:hAnsi="Times New Roman"/>
        </w:rPr>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C333C8" w:rsidRPr="00891C8F">
        <w:rPr>
          <w:rFonts w:ascii="Times New Roman" w:hAnsi="Times New Roman"/>
        </w:rPr>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C333C8" w:rsidRPr="00891C8F">
        <w:rPr>
          <w:rFonts w:ascii="Times New Roman" w:eastAsiaTheme="minorEastAsia" w:hAnsi="Times New Roman"/>
          <w:iCs/>
        </w:rPr>
        <w:t xml:space="preserve"> </w:t>
      </w:r>
      <w:r w:rsidR="00C333C8" w:rsidRPr="00891C8F">
        <w:rPr>
          <w:rFonts w:ascii="Times New Roman" w:eastAsiaTheme="minorEastAsia" w:hAnsi="Times New Roman"/>
        </w:rPr>
        <w:t>linear combination coefficients</w:t>
      </w:r>
    </w:p>
    <w:p w:rsidR="00C333C8" w:rsidRPr="00891C8F" w:rsidRDefault="00C333C8" w:rsidP="00C333C8">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hAnsi="Times New Roman"/>
        </w:rPr>
        <w:t xml:space="preserve">The value of </w:t>
      </w:r>
      <m:oMath>
        <m:r>
          <w:rPr>
            <w:rFonts w:ascii="Cambria Math" w:hAnsi="Cambria Math"/>
          </w:rPr>
          <m:t>K</m:t>
        </m:r>
      </m:oMath>
      <w:r w:rsidRPr="00891C8F">
        <w:rPr>
          <w:rFonts w:ascii="Times New Roman" w:eastAsiaTheme="minorEastAsia" w:hAnsi="Times New Roman"/>
          <w:iCs/>
        </w:rPr>
        <w:t xml:space="preserve"> (applied to all 2L beams) is higher-layer configured</w:t>
      </w:r>
    </w:p>
    <w:p w:rsidR="00C333C8" w:rsidRPr="00891C8F" w:rsidRDefault="00C333C8" w:rsidP="00C333C8">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hAnsi="Times New Roman"/>
        </w:rPr>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hAnsi="Times New Roman"/>
        </w:rPr>
        <w:t xml:space="preserve"> </w:t>
      </w:r>
      <w:r>
        <w:rPr>
          <w:rFonts w:ascii="Times New Roman" w:hAnsi="Times New Roman"/>
        </w:rPr>
        <w:t xml:space="preserve">basis </w:t>
      </w:r>
      <w:r w:rsidRPr="00891C8F">
        <w:rPr>
          <w:rFonts w:ascii="Times New Roman" w:hAnsi="Times New Roman"/>
        </w:rPr>
        <w:t xml:space="preserve">subset selection </w:t>
      </w:r>
      <w:r w:rsidRPr="00891C8F">
        <w:rPr>
          <w:rFonts w:ascii="Times New Roman" w:eastAsiaTheme="minorEastAsia" w:hAnsi="Times New Roman"/>
          <w:iCs/>
        </w:rPr>
        <w:t>(applied to the i-th beam)</w:t>
      </w:r>
      <w:r w:rsidRPr="00891C8F">
        <w:rPr>
          <w:rFonts w:ascii="Times New Roman" w:hAnsi="Times New Roman"/>
        </w:rPr>
        <w:t xml:space="preserve">, e.g. </w:t>
      </w:r>
      <w:r w:rsidRPr="00891C8F">
        <w:rPr>
          <w:rFonts w:ascii="Times New Roman" w:eastAsiaTheme="minorEastAsia" w:hAnsi="Times New Roman"/>
          <w:iCs/>
          <w:lang w:val="sv-SE"/>
        </w:rPr>
        <w:t>for i=</w:t>
      </w:r>
      <w:r w:rsidRPr="00891C8F">
        <w:rPr>
          <w:rFonts w:ascii="Times New Roman" w:hAnsi="Times New Roman"/>
        </w:rPr>
        <w:t>0, 1, …, 2</w:t>
      </w:r>
      <w:r w:rsidRPr="0051358D">
        <w:rPr>
          <w:rFonts w:ascii="Times New Roman" w:hAnsi="Times New Roman"/>
          <w:i/>
        </w:rPr>
        <w:t>L</w:t>
      </w:r>
      <w:r w:rsidRPr="00891C8F">
        <w:rPr>
          <w:rFonts w:ascii="Times New Roman" w:hAnsi="Times New Roman"/>
        </w:rPr>
        <w:t>-1</w:t>
      </w:r>
    </w:p>
    <w:p w:rsidR="00C333C8" w:rsidRPr="00891C8F" w:rsidRDefault="00C333C8" w:rsidP="00C333C8">
      <w:pPr>
        <w:pStyle w:val="ListParagraph"/>
        <w:numPr>
          <w:ilvl w:val="2"/>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are dynamically selected by the UE (hence reported with CSI)</w:t>
      </w:r>
      <w:r w:rsidRPr="00891C8F">
        <w:rPr>
          <w:rFonts w:ascii="Times New Roman" w:hAnsi="Times New Roman"/>
        </w:rPr>
        <w:t xml:space="preserve"> </w:t>
      </w:r>
    </w:p>
    <w:p w:rsidR="00C333C8" w:rsidRPr="00891C8F" w:rsidRDefault="00C333C8" w:rsidP="00C333C8">
      <w:pPr>
        <w:pStyle w:val="ListParagraph"/>
        <w:numPr>
          <w:ilvl w:val="2"/>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is determined by a predefined rule in specification</w:t>
      </w:r>
    </w:p>
    <w:p w:rsidR="00C333C8" w:rsidRPr="00891C8F" w:rsidRDefault="00C333C8" w:rsidP="00C333C8">
      <w:pPr>
        <w:pStyle w:val="ListParagraph"/>
        <w:numPr>
          <w:ilvl w:val="2"/>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is higher-layer configured</w:t>
      </w:r>
    </w:p>
    <w:p w:rsidR="00C333C8" w:rsidRPr="00C333C8" w:rsidRDefault="00C333C8" w:rsidP="00C333C8">
      <w:pPr>
        <w:pStyle w:val="ListParagraph"/>
        <w:numPr>
          <w:ilvl w:val="1"/>
          <w:numId w:val="41"/>
        </w:numPr>
        <w:spacing w:after="60" w:line="288" w:lineRule="auto"/>
        <w:ind w:leftChars="0"/>
        <w:contextualSpacing/>
        <w:jc w:val="both"/>
        <w:rPr>
          <w:rFonts w:ascii="Times New Roman" w:hAnsi="Times New Roman"/>
        </w:rPr>
      </w:pPr>
      <w:r w:rsidRPr="00891C8F">
        <w:rPr>
          <w:rFonts w:ascii="Times New Roman" w:eastAsiaTheme="minorEastAsia" w:hAnsi="Times New Roman"/>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ascii="Times New Roman" w:eastAsiaTheme="minorEastAsia" w:hAnsi="Times New Roman"/>
          <w:iCs/>
          <w:lang w:val="sv-SE"/>
        </w:rPr>
        <w:t xml:space="preserve"> subset can be chosen either from the fixed basis set or from a beam-common UE-selected intermediate subset of the fixed basis set</w:t>
      </w:r>
    </w:p>
    <w:p w:rsidR="007E17D7" w:rsidRDefault="006E25F2" w:rsidP="007E17D7">
      <w:pPr>
        <w:rPr>
          <w:iCs/>
          <w:lang w:val="sv-SE"/>
        </w:rPr>
      </w:pPr>
      <w:r>
        <w:t xml:space="preserve">In Alt 2 the number of coefficients per beam,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iCs/>
          <w:lang w:val="sv-SE"/>
        </w:rPr>
        <w:t xml:space="preserve">, is beam dependent and can be either from a predefined rule in the specification, be higher-layer configured, or dynamically selected by the UE.  The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iCs/>
          <w:lang w:val="sv-SE"/>
        </w:rPr>
        <w:t xml:space="preserve"> coefficients themselves are dynamically selected by the UE</w:t>
      </w:r>
      <w:r w:rsidR="007E17D7">
        <w:rPr>
          <w:iCs/>
          <w:lang w:val="sv-SE"/>
        </w:rPr>
        <w:t xml:space="preserve"> from either a fixed basis set or from a beam-common UE-selected intermediate subset of the fixed basis set. </w:t>
      </w:r>
    </w:p>
    <w:p w:rsidR="007E17D7" w:rsidRDefault="007E17D7" w:rsidP="007E17D7">
      <w:pPr>
        <w:rPr>
          <w:iCs/>
          <w:lang w:val="sv-SE"/>
        </w:rPr>
      </w:pPr>
      <w:r>
        <w:rPr>
          <w:iCs/>
          <w:lang w:val="sv-SE"/>
        </w:rPr>
        <w:t xml:space="preserve">Note that in the latter, the selected intermediate subset of the fixed basis set can be interpreted as the set of </w:t>
      </w:r>
      <w:r>
        <w:rPr>
          <w:i/>
          <w:iCs/>
          <w:lang w:val="sv-SE"/>
        </w:rPr>
        <w:t xml:space="preserve">M </w:t>
      </w:r>
      <w:r>
        <w:rPr>
          <w:iCs/>
          <w:lang w:val="sv-SE"/>
        </w:rPr>
        <w:t xml:space="preserve">common basis vectors of Alt 1A and Alt 1B. In this case </w:t>
      </w:r>
      <w:r w:rsidR="00D02D2A">
        <w:rPr>
          <w:iCs/>
          <w:lang w:val="sv-SE"/>
        </w:rPr>
        <w:t xml:space="preserve">an </w:t>
      </w:r>
      <w:r>
        <w:rPr>
          <w:iCs/>
          <w:lang w:val="sv-SE"/>
        </w:rPr>
        <w:t xml:space="preserve">Alt 2 scheme can also be cast as </w:t>
      </w:r>
      <w:r w:rsidR="00D02D2A">
        <w:rPr>
          <w:iCs/>
          <w:lang w:val="sv-SE"/>
        </w:rPr>
        <w:t xml:space="preserve">an </w:t>
      </w:r>
      <w:r>
        <w:rPr>
          <w:iCs/>
          <w:lang w:val="sv-SE"/>
        </w:rPr>
        <w:t xml:space="preserve">Alt 1B scheme where the </w:t>
      </w:r>
      <w:r w:rsidRPr="00F27D9C">
        <w:rPr>
          <w:i/>
        </w:rPr>
        <w:t>K</w:t>
      </w:r>
      <w:r w:rsidRPr="00F27D9C">
        <w:rPr>
          <w:vertAlign w:val="subscript"/>
        </w:rPr>
        <w:t>0</w:t>
      </w:r>
      <w:r>
        <w:rPr>
          <w:vertAlign w:val="subscript"/>
        </w:rPr>
        <w:t xml:space="preserve"> </w:t>
      </w:r>
      <w:r>
        <w:t xml:space="preserve">coefficients are just the union of the sets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iCs/>
          <w:lang w:val="sv-SE"/>
        </w:rPr>
        <w:t xml:space="preserve"> coefficients.  On the other hand when the intermediate subset is a fixed basis, such as the entire set of </w:t>
      </w:r>
      <m:oMath>
        <m:r>
          <w:rPr>
            <w:rFonts w:ascii="Cambria Math" w:hAnsi="Cambria Math"/>
            <w:lang w:val="sv-SE"/>
          </w:rPr>
          <m:t>N</m:t>
        </m:r>
        <m:sSub>
          <m:sSubPr>
            <m:ctrlPr>
              <w:rPr>
                <w:rFonts w:ascii="Cambria Math" w:hAnsi="Cambria Math"/>
                <w:i/>
                <w:iCs/>
                <w:lang w:val="sv-SE"/>
              </w:rPr>
            </m:ctrlPr>
          </m:sSubPr>
          <m:e>
            <m:r>
              <m:rPr>
                <m:sty m:val="p"/>
              </m:rPr>
              <w:rPr>
                <w:rFonts w:ascii="Cambria Math" w:hAnsi="Cambria Math"/>
                <w:lang w:val="sv-SE"/>
              </w:rPr>
              <w:softHyphen/>
            </m:r>
          </m:e>
          <m:sub>
            <m:r>
              <w:rPr>
                <w:rFonts w:ascii="Cambria Math" w:hAnsi="Cambria Math"/>
                <w:lang w:val="sv-SE"/>
              </w:rPr>
              <m:t>3</m:t>
            </m:r>
          </m:sub>
        </m:sSub>
      </m:oMath>
      <w:r>
        <w:rPr>
          <w:iCs/>
          <w:lang w:val="sv-SE"/>
        </w:rPr>
        <w:t xml:space="preserve"> coefficients, Alt 1B and </w:t>
      </w:r>
      <w:r w:rsidR="00D02D2A">
        <w:rPr>
          <w:iCs/>
          <w:lang w:val="sv-SE"/>
        </w:rPr>
        <w:t xml:space="preserve">Alt </w:t>
      </w:r>
      <w:r>
        <w:rPr>
          <w:iCs/>
          <w:lang w:val="sv-SE"/>
        </w:rPr>
        <w:t>2 are different.</w:t>
      </w:r>
      <w:r w:rsidR="00475128">
        <w:rPr>
          <w:iCs/>
          <w:lang w:val="sv-SE"/>
        </w:rPr>
        <w:t xml:space="preserve">  We</w:t>
      </w:r>
      <w:r w:rsidR="00F81043">
        <w:rPr>
          <w:iCs/>
          <w:lang w:val="sv-SE"/>
        </w:rPr>
        <w:t xml:space="preserve"> therefore limit the discussion of Alt 2 to the case of a fixed basis.</w:t>
      </w:r>
    </w:p>
    <w:p w:rsidR="007E17D7" w:rsidRPr="00D47A80" w:rsidRDefault="00475128" w:rsidP="007E17D7">
      <w:pPr>
        <w:rPr>
          <w:iCs/>
          <w:lang w:val="sv-SE"/>
        </w:rPr>
      </w:pPr>
      <w:r>
        <w:rPr>
          <w:iCs/>
          <w:lang w:val="sv-SE"/>
        </w:rPr>
        <w:t xml:space="preserve">Performance can potentially be improved by eliminating the UE selected common basis and allowing the UE to select any sized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iCs/>
          <w:lang w:val="sv-SE"/>
        </w:rPr>
        <w:t xml:space="preserve"> subset of coefficients for each beam</w:t>
      </w:r>
      <w:r w:rsidR="00D02D2A">
        <w:rPr>
          <w:iCs/>
          <w:lang w:val="sv-SE"/>
        </w:rPr>
        <w:t>.</w:t>
      </w:r>
      <w:r>
        <w:rPr>
          <w:iCs/>
          <w:lang w:val="sv-SE"/>
        </w:rPr>
        <w:t xml:space="preserve"> </w:t>
      </w:r>
      <w:r w:rsidR="00692968">
        <w:rPr>
          <w:iCs/>
          <w:lang w:val="sv-SE"/>
        </w:rPr>
        <w:t xml:space="preserve">The overhead required to signal the selected subsets is greater than for a UE selected basis but can be upper-bounded by a </w:t>
      </w:r>
      <w:r w:rsidR="000B5E48">
        <w:rPr>
          <w:iCs/>
          <w:lang w:val="sv-SE"/>
        </w:rPr>
        <w:t xml:space="preserve">bit map of length </w:t>
      </w:r>
      <m:oMath>
        <m:r>
          <w:rPr>
            <w:rFonts w:ascii="Cambria Math" w:hAnsi="Cambria Math"/>
            <w:lang w:val="sv-SE"/>
          </w:rPr>
          <m:t>2L</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oMath>
      <w:r w:rsidR="000B5E48">
        <w:rPr>
          <w:iCs/>
          <w:lang w:val="sv-SE"/>
        </w:rPr>
        <w:t>.</w:t>
      </w:r>
      <w:r w:rsidR="00692968">
        <w:rPr>
          <w:i/>
          <w:iCs/>
          <w:lang w:val="sv-SE"/>
        </w:rPr>
        <w:t xml:space="preserve"> </w:t>
      </w:r>
      <w:r w:rsidR="00D47A80">
        <w:rPr>
          <w:i/>
          <w:iCs/>
          <w:lang w:val="sv-SE"/>
        </w:rPr>
        <w:t xml:space="preserve"> </w:t>
      </w:r>
      <w:r w:rsidR="00D47A80">
        <w:t xml:space="preserve">This scheme’s </w:t>
      </w:r>
      <w:r w:rsidR="00FF4C2E">
        <w:t xml:space="preserve">rank 1 </w:t>
      </w:r>
      <w:r w:rsidR="00D47A80">
        <w:t xml:space="preserve">overhead calculation is given in </w:t>
      </w:r>
      <w:r w:rsidR="00D47A80">
        <w:fldChar w:fldCharType="begin"/>
      </w:r>
      <w:r w:rsidR="00D47A80">
        <w:instrText xml:space="preserve"> REF _Ref534741745 \h </w:instrText>
      </w:r>
      <w:r w:rsidR="00D47A80">
        <w:fldChar w:fldCharType="separate"/>
      </w:r>
      <w:r w:rsidR="00D47A80">
        <w:t xml:space="preserve">Table </w:t>
      </w:r>
      <w:r w:rsidR="00D47A80">
        <w:rPr>
          <w:noProof/>
        </w:rPr>
        <w:t>3</w:t>
      </w:r>
      <w:r w:rsidR="00D47A80">
        <w:fldChar w:fldCharType="end"/>
      </w:r>
      <w:r w:rsidR="00D47A80">
        <w:t xml:space="preserve"> using this upper bound as the number of bits needed for basis set overhead indication.</w:t>
      </w:r>
    </w:p>
    <w:p w:rsidR="00C6604E" w:rsidRDefault="00C6604E" w:rsidP="002D3AC4"/>
    <w:p w:rsidR="00D47A80" w:rsidRDefault="00D47A80" w:rsidP="00D47A80">
      <w:pPr>
        <w:pStyle w:val="Caption"/>
        <w:keepNext/>
      </w:pPr>
      <w:bookmarkStart w:id="6" w:name="_Ref534741745"/>
      <w:r>
        <w:t xml:space="preserve">Table </w:t>
      </w:r>
      <w:r>
        <w:fldChar w:fldCharType="begin"/>
      </w:r>
      <w:r>
        <w:instrText xml:space="preserve"> SEQ Table \* ARABIC </w:instrText>
      </w:r>
      <w:r>
        <w:fldChar w:fldCharType="separate"/>
      </w:r>
      <w:r w:rsidR="001A0455">
        <w:rPr>
          <w:noProof/>
        </w:rPr>
        <w:t>3</w:t>
      </w:r>
      <w:r>
        <w:fldChar w:fldCharType="end"/>
      </w:r>
      <w:bookmarkEnd w:id="6"/>
      <w:r>
        <w:t>:</w:t>
      </w:r>
      <w:r w:rsidRPr="00781DA7">
        <w:t xml:space="preserve"> </w:t>
      </w:r>
      <w:r w:rsidR="006C42BD">
        <w:t>Overhead calculation for Alt 2</w:t>
      </w:r>
    </w:p>
    <w:tbl>
      <w:tblPr>
        <w:tblW w:w="8000" w:type="dxa"/>
        <w:jc w:val="center"/>
        <w:tblLook w:val="04A0" w:firstRow="1" w:lastRow="0" w:firstColumn="1" w:lastColumn="0" w:noHBand="0" w:noVBand="1"/>
      </w:tblPr>
      <w:tblGrid>
        <w:gridCol w:w="1520"/>
        <w:gridCol w:w="1170"/>
        <w:gridCol w:w="1022"/>
        <w:gridCol w:w="1048"/>
        <w:gridCol w:w="1080"/>
        <w:gridCol w:w="1170"/>
        <w:gridCol w:w="990"/>
      </w:tblGrid>
      <w:tr w:rsidR="00E77FEB" w:rsidRPr="00B27830" w:rsidTr="00E77FEB">
        <w:trPr>
          <w:trHeight w:val="298"/>
          <w:jc w:val="center"/>
        </w:trPr>
        <w:tc>
          <w:tcPr>
            <w:tcW w:w="8000"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b/>
                <w:color w:val="000000"/>
              </w:rPr>
            </w:pPr>
            <w:r w:rsidRPr="00316E93">
              <w:rPr>
                <w:rFonts w:asciiTheme="minorHAnsi" w:eastAsia="Times New Roman" w:hAnsiTheme="minorHAnsi" w:cstheme="minorHAnsi"/>
                <w:b/>
                <w:color w:val="000000"/>
              </w:rPr>
              <w:t>Alt</w:t>
            </w:r>
            <w:r>
              <w:rPr>
                <w:rFonts w:asciiTheme="minorHAnsi" w:eastAsia="Times New Roman" w:hAnsiTheme="minorHAnsi" w:cstheme="minorHAnsi"/>
                <w:b/>
                <w:color w:val="000000"/>
              </w:rPr>
              <w:t>.</w:t>
            </w:r>
            <w:r w:rsidRPr="00316E93">
              <w:rPr>
                <w:rFonts w:asciiTheme="minorHAnsi" w:eastAsia="Times New Roman" w:hAnsiTheme="minorHAnsi" w:cstheme="minorHAnsi"/>
                <w:b/>
                <w:color w:val="000000"/>
              </w:rPr>
              <w:t xml:space="preserve"> 2</w:t>
            </w:r>
          </w:p>
        </w:tc>
      </w:tr>
      <w:tr w:rsidR="00E77FEB" w:rsidRPr="00B27830" w:rsidTr="00E77FEB">
        <w:trPr>
          <w:trHeight w:val="971"/>
          <w:jc w:val="center"/>
        </w:trPr>
        <w:tc>
          <w:tcPr>
            <w:tcW w:w="1520"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 xml:space="preserve">number of taps per beam,  </w:t>
            </w:r>
            <w:r w:rsidRPr="00B27830">
              <w:rPr>
                <w:rFonts w:eastAsia="Times New Roman"/>
                <w:i/>
                <w:iCs/>
                <w:color w:val="000000"/>
              </w:rPr>
              <w:t>M</w:t>
            </w:r>
            <w:r w:rsidRPr="00B27830">
              <w:rPr>
                <w:rFonts w:eastAsia="Times New Roman"/>
                <w:i/>
                <w:iCs/>
                <w:color w:val="000000"/>
                <w:vertAlign w:val="subscript"/>
              </w:rPr>
              <w:t>i</w:t>
            </w:r>
          </w:p>
        </w:tc>
        <w:tc>
          <w:tcPr>
            <w:tcW w:w="117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beam selection + rotation</w:t>
            </w:r>
          </w:p>
        </w:tc>
        <w:tc>
          <w:tcPr>
            <w:tcW w:w="1022"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over-</w:t>
            </w:r>
            <w:r w:rsidRPr="00B27830">
              <w:rPr>
                <w:rFonts w:asciiTheme="minorHAnsi" w:eastAsia="Times New Roman" w:hAnsiTheme="minorHAnsi" w:cstheme="minorHAnsi"/>
                <w:color w:val="000000"/>
              </w:rPr>
              <w:br/>
              <w:t>sampling</w:t>
            </w:r>
            <w:r w:rsidRPr="00B27830">
              <w:rPr>
                <w:rFonts w:asciiTheme="minorHAnsi" w:eastAsia="Times New Roman" w:hAnsiTheme="minorHAnsi" w:cstheme="minorHAnsi"/>
                <w:color w:val="000000"/>
              </w:rPr>
              <w:br/>
              <w:t>indication</w:t>
            </w:r>
          </w:p>
        </w:tc>
        <w:tc>
          <w:tcPr>
            <w:tcW w:w="1048"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max beam indication</w:t>
            </w:r>
          </w:p>
        </w:tc>
        <w:tc>
          <w:tcPr>
            <w:tcW w:w="108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basis set  indication overhead</w:t>
            </w:r>
          </w:p>
        </w:tc>
        <w:tc>
          <w:tcPr>
            <w:tcW w:w="1170" w:type="dxa"/>
            <w:tcBorders>
              <w:top w:val="nil"/>
              <w:left w:val="nil"/>
              <w:bottom w:val="single" w:sz="4" w:space="0" w:color="auto"/>
              <w:right w:val="single" w:sz="4" w:space="0" w:color="auto"/>
            </w:tcBorders>
            <w:shd w:val="clear" w:color="000000" w:fill="9BC2E6"/>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amp/phase overhead</w:t>
            </w:r>
          </w:p>
        </w:tc>
        <w:tc>
          <w:tcPr>
            <w:tcW w:w="990" w:type="dxa"/>
            <w:tcBorders>
              <w:top w:val="nil"/>
              <w:left w:val="nil"/>
              <w:bottom w:val="single" w:sz="4" w:space="0" w:color="auto"/>
              <w:right w:val="single" w:sz="4" w:space="0" w:color="auto"/>
            </w:tcBorders>
            <w:shd w:val="clear" w:color="000000" w:fill="9BC2E6"/>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overhead</w:t>
            </w:r>
          </w:p>
        </w:tc>
      </w:tr>
      <w:tr w:rsidR="00E77FEB" w:rsidRPr="00B27830" w:rsidTr="00E77FEB">
        <w:trPr>
          <w:trHeight w:val="242"/>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1F497D"/>
              </w:rPr>
            </w:pPr>
            <w:r w:rsidRPr="00B27830">
              <w:rPr>
                <w:rFonts w:asciiTheme="minorHAnsi" w:eastAsia="Times New Roman" w:hAnsiTheme="minorHAnsi" w:cstheme="minorHAnsi"/>
                <w:color w:val="1F497D"/>
              </w:rPr>
              <w:t>[3 3 2 2 2 2 1 1]</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11</w:t>
            </w:r>
          </w:p>
        </w:tc>
        <w:tc>
          <w:tcPr>
            <w:tcW w:w="1022"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2</w:t>
            </w:r>
          </w:p>
        </w:tc>
        <w:tc>
          <w:tcPr>
            <w:tcW w:w="1048"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104</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96</w:t>
            </w:r>
          </w:p>
        </w:tc>
        <w:tc>
          <w:tcPr>
            <w:tcW w:w="990" w:type="dxa"/>
            <w:tcBorders>
              <w:top w:val="nil"/>
              <w:left w:val="nil"/>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216</w:t>
            </w:r>
          </w:p>
        </w:tc>
      </w:tr>
      <w:tr w:rsidR="00E77FEB" w:rsidRPr="00B27830" w:rsidTr="00E77FEB">
        <w:trPr>
          <w:trHeight w:val="242"/>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1F497D"/>
              </w:rPr>
            </w:pPr>
            <w:r w:rsidRPr="00B27830">
              <w:rPr>
                <w:rFonts w:asciiTheme="minorHAnsi" w:eastAsia="Times New Roman" w:hAnsiTheme="minorHAnsi" w:cstheme="minorHAnsi"/>
                <w:color w:val="1F497D"/>
              </w:rPr>
              <w:t xml:space="preserve">[4 4 3 3 3 3 2 2] </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11</w:t>
            </w:r>
          </w:p>
        </w:tc>
        <w:tc>
          <w:tcPr>
            <w:tcW w:w="1022"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2</w:t>
            </w:r>
          </w:p>
        </w:tc>
        <w:tc>
          <w:tcPr>
            <w:tcW w:w="1048"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104</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144</w:t>
            </w:r>
          </w:p>
        </w:tc>
        <w:tc>
          <w:tcPr>
            <w:tcW w:w="990" w:type="dxa"/>
            <w:tcBorders>
              <w:top w:val="nil"/>
              <w:left w:val="nil"/>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264</w:t>
            </w:r>
          </w:p>
        </w:tc>
      </w:tr>
      <w:tr w:rsidR="00E77FEB" w:rsidRPr="00B27830" w:rsidTr="00E77FEB">
        <w:trPr>
          <w:trHeight w:val="48"/>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1F497D"/>
              </w:rPr>
            </w:pPr>
            <w:r w:rsidRPr="00B27830">
              <w:rPr>
                <w:rFonts w:asciiTheme="minorHAnsi" w:eastAsia="Times New Roman" w:hAnsiTheme="minorHAnsi" w:cstheme="minorHAnsi"/>
                <w:color w:val="1F497D"/>
              </w:rPr>
              <w:t>[4 4 4 4 4 4 4 4]</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11</w:t>
            </w:r>
          </w:p>
        </w:tc>
        <w:tc>
          <w:tcPr>
            <w:tcW w:w="1022"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2</w:t>
            </w:r>
          </w:p>
        </w:tc>
        <w:tc>
          <w:tcPr>
            <w:tcW w:w="1048"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3</w:t>
            </w:r>
          </w:p>
        </w:tc>
        <w:tc>
          <w:tcPr>
            <w:tcW w:w="108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104</w:t>
            </w:r>
          </w:p>
        </w:tc>
        <w:tc>
          <w:tcPr>
            <w:tcW w:w="1170" w:type="dxa"/>
            <w:tcBorders>
              <w:top w:val="nil"/>
              <w:left w:val="nil"/>
              <w:bottom w:val="single" w:sz="4" w:space="0" w:color="auto"/>
              <w:right w:val="single" w:sz="4" w:space="0" w:color="auto"/>
            </w:tcBorders>
            <w:shd w:val="clear" w:color="auto" w:fill="auto"/>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192</w:t>
            </w:r>
          </w:p>
        </w:tc>
        <w:tc>
          <w:tcPr>
            <w:tcW w:w="990" w:type="dxa"/>
            <w:tcBorders>
              <w:top w:val="nil"/>
              <w:left w:val="nil"/>
              <w:bottom w:val="single" w:sz="4" w:space="0" w:color="auto"/>
              <w:right w:val="single" w:sz="4" w:space="0" w:color="auto"/>
            </w:tcBorders>
            <w:shd w:val="clear" w:color="auto" w:fill="auto"/>
            <w:noWrap/>
            <w:vAlign w:val="center"/>
            <w:hideMark/>
          </w:tcPr>
          <w:p w:rsidR="00E77FEB" w:rsidRPr="00B27830" w:rsidRDefault="00E77FEB" w:rsidP="00951751">
            <w:pPr>
              <w:spacing w:before="0" w:after="0" w:line="240" w:lineRule="auto"/>
              <w:jc w:val="center"/>
              <w:rPr>
                <w:rFonts w:asciiTheme="minorHAnsi" w:eastAsia="Times New Roman" w:hAnsiTheme="minorHAnsi" w:cstheme="minorHAnsi"/>
                <w:color w:val="000000"/>
              </w:rPr>
            </w:pPr>
            <w:r w:rsidRPr="00B27830">
              <w:rPr>
                <w:rFonts w:asciiTheme="minorHAnsi" w:eastAsia="Times New Roman" w:hAnsiTheme="minorHAnsi" w:cstheme="minorHAnsi"/>
                <w:color w:val="000000"/>
              </w:rPr>
              <w:t>312</w:t>
            </w:r>
          </w:p>
        </w:tc>
      </w:tr>
    </w:tbl>
    <w:p w:rsidR="00F30D9C" w:rsidRDefault="00F30D9C" w:rsidP="002D3AC4"/>
    <w:p w:rsidR="00C6604E" w:rsidRDefault="00316425" w:rsidP="00577831">
      <w:pPr>
        <w:pStyle w:val="Heading2"/>
      </w:pPr>
      <w:bookmarkStart w:id="7" w:name="_Ref534992054"/>
      <w:r>
        <w:t>Simulation Results</w:t>
      </w:r>
      <w:bookmarkEnd w:id="7"/>
    </w:p>
    <w:p w:rsidR="00B8106F" w:rsidRDefault="0015215A" w:rsidP="00B8106F">
      <w:r>
        <w:t xml:space="preserve">The performance of the three alternatives were </w:t>
      </w:r>
      <w:r w:rsidR="000F6996">
        <w:t>evaluated in terms of their cell edge and average user packet throughpu</w:t>
      </w:r>
      <w:r w:rsidR="004B6C97">
        <w:t xml:space="preserve">t for various values of </w:t>
      </w:r>
      <w:r w:rsidR="004B6C97">
        <w:rPr>
          <w:i/>
        </w:rPr>
        <w:t xml:space="preserve">M </w:t>
      </w:r>
      <w:r w:rsidR="004B6C97">
        <w:t xml:space="preserve">(Alt. 1A)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m:t>
                </m:r>
              </m:sub>
            </m:sSub>
          </m:e>
        </m:d>
      </m:oMath>
      <w:r w:rsidR="004B6C97">
        <w:t xml:space="preserve"> (Alt. 1B and 2) </w:t>
      </w:r>
      <w:r w:rsidR="00E77FEB">
        <w:t>vs. overhead bits</w:t>
      </w:r>
      <w:r w:rsidR="004B6C97">
        <w:t xml:space="preserve">. A 10 MHz bandwidth </w:t>
      </w:r>
      <w:r w:rsidR="004B6C97">
        <w:lastRenderedPageBreak/>
        <w:t>was simulated with</w:t>
      </w:r>
      <w:r w:rsidR="00D02D2A">
        <w:t xml:space="preserve"> </w:t>
      </w:r>
      <w:r w:rsidR="000F6996">
        <w:t xml:space="preserve">FD compression size </w:t>
      </w:r>
      <w:r w:rsidR="004B6C97">
        <w:t xml:space="preserve">of </w:t>
      </w:r>
      <w:r w:rsidR="000F6996">
        <w:rPr>
          <w:i/>
        </w:rPr>
        <w:t>X =</w:t>
      </w:r>
      <w:r w:rsidR="004B6C97">
        <w:t xml:space="preserve"> 4.  T</w:t>
      </w:r>
      <w:r w:rsidR="000F6996">
        <w:t>hree bits of amplitude and phase quantization were used per coefficient.</w:t>
      </w:r>
      <w:r w:rsidR="00E77FEB">
        <w:t xml:space="preserve">  Additional simulation assumptions are given in the Appendix.</w:t>
      </w:r>
    </w:p>
    <w:p w:rsidR="004B6C97" w:rsidRPr="004B6C97" w:rsidRDefault="004B6C97" w:rsidP="004B6C97">
      <w:r>
        <w:t xml:space="preserve">For </w:t>
      </w:r>
      <w:r w:rsidR="00B8106F" w:rsidRPr="004B6C97">
        <w:t>Alt 1A</w:t>
      </w:r>
      <w:r>
        <w:t xml:space="preserve"> a</w:t>
      </w:r>
      <w:r w:rsidR="00B8106F">
        <w:t xml:space="preserve"> common basis set of </w:t>
      </w:r>
      <m:oMath>
        <m:r>
          <w:rPr>
            <w:rFonts w:ascii="Cambria Math" w:hAnsi="Cambria Math"/>
          </w:rPr>
          <m:t>M∈{2,3,4,5}</m:t>
        </m:r>
      </m:oMath>
      <w:r w:rsidR="00B8106F">
        <w:t xml:space="preserve"> basis vectors is calculated by the UE based on the sum of energies across beams calculated for each of the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00B8106F">
        <w:t xml:space="preserve"> basis vectors. </w:t>
      </w:r>
      <w:r w:rsidR="00A31B18">
        <w:t xml:space="preserve"> </w:t>
      </w:r>
    </w:p>
    <w:p w:rsidR="004B6C97" w:rsidRDefault="004B6C97" w:rsidP="004B6C97">
      <w:r>
        <w:t xml:space="preserve">In Alt 1B, the number of coefficients </w:t>
      </w:r>
      <w:r w:rsidRPr="00692968">
        <w:t>per</w:t>
      </w:r>
      <w:r>
        <w:t xml:space="preserve"> beam,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allocated according to</w:t>
      </w:r>
      <w:r w:rsidR="006C42BD">
        <w:t xml:space="preserve"> </w:t>
      </w:r>
      <w:r w:rsidR="00D02D2A">
        <w:t xml:space="preserve">the first column of </w:t>
      </w:r>
      <w:r w:rsidR="006C42BD">
        <w:fldChar w:fldCharType="begin"/>
      </w:r>
      <w:r w:rsidR="006C42BD">
        <w:instrText xml:space="preserve"> REF _Ref534728699 \h </w:instrText>
      </w:r>
      <w:r w:rsidR="006C42BD">
        <w:fldChar w:fldCharType="separate"/>
      </w:r>
      <w:r w:rsidR="006C42BD">
        <w:t xml:space="preserve">Table </w:t>
      </w:r>
      <w:r w:rsidR="006C42BD">
        <w:rPr>
          <w:noProof/>
        </w:rPr>
        <w:t>2</w:t>
      </w:r>
      <w:r w:rsidR="006C42BD">
        <w:fldChar w:fldCharType="end"/>
      </w:r>
      <w:r>
        <w:t xml:space="preserve">.  For each beam the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coefficients with greatest energy are selected out of a common basis of size </w:t>
      </w:r>
      <w:r w:rsidR="00D02D2A">
        <w:t xml:space="preserve">of </w:t>
      </w:r>
      <w:r>
        <w:t>max{</w:t>
      </w:r>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oMath>
      <w:r>
        <w:t xml:space="preserve">. The common basis is selected as in Alt 1A. </w:t>
      </w:r>
    </w:p>
    <w:p w:rsidR="004B6C97" w:rsidRDefault="005475A0" w:rsidP="004B6C97">
      <w:pPr>
        <w:spacing w:line="288" w:lineRule="auto"/>
        <w:contextualSpacing/>
        <w:rPr>
          <w:rFonts w:eastAsiaTheme="minorEastAsia"/>
          <w:iCs/>
          <w:lang w:val="sv-SE"/>
        </w:rPr>
      </w:pPr>
      <w:r>
        <w:t>Similarly, for Alt 2 t</w:t>
      </w:r>
      <w:r w:rsidR="004B6C97">
        <w:t xml:space="preserve">he number of coefficients </w:t>
      </w:r>
      <w:r w:rsidR="004B6C97" w:rsidRPr="00692968">
        <w:t>per</w:t>
      </w:r>
      <w:r w:rsidR="004B6C97">
        <w:t xml:space="preserve"> beam,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4B6C97">
        <w:t xml:space="preserve"> is </w:t>
      </w:r>
      <w:r w:rsidR="006C42BD">
        <w:t xml:space="preserve">allocated according to </w:t>
      </w:r>
      <w:r w:rsidR="00D02D2A">
        <w:t xml:space="preserve">the first column of </w:t>
      </w:r>
      <w:r w:rsidR="006C42BD">
        <w:fldChar w:fldCharType="begin"/>
      </w:r>
      <w:r w:rsidR="006C42BD">
        <w:instrText xml:space="preserve"> REF _Ref534741745 \h </w:instrText>
      </w:r>
      <w:r w:rsidR="006C42BD">
        <w:fldChar w:fldCharType="separate"/>
      </w:r>
      <w:r w:rsidR="006C42BD">
        <w:t xml:space="preserve">Table </w:t>
      </w:r>
      <w:r w:rsidR="006C42BD">
        <w:rPr>
          <w:noProof/>
        </w:rPr>
        <w:t>3</w:t>
      </w:r>
      <w:r w:rsidR="006C42BD">
        <w:fldChar w:fldCharType="end"/>
      </w:r>
      <w:r>
        <w:t xml:space="preserve"> and </w:t>
      </w:r>
      <w:r>
        <w:rPr>
          <w:rFonts w:eastAsiaTheme="minorEastAsia"/>
          <w:iCs/>
          <w:lang w:val="sv-SE"/>
        </w:rPr>
        <w:t>t</w:t>
      </w:r>
      <w:r w:rsidR="004B6C97" w:rsidRPr="00F30D9C">
        <w:rPr>
          <w:rFonts w:eastAsiaTheme="minorEastAsia"/>
          <w:iCs/>
          <w:lang w:val="sv-SE"/>
        </w:rPr>
        <w: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004B6C97" w:rsidRPr="00F30D9C">
        <w:rPr>
          <w:rFonts w:eastAsiaTheme="minorEastAsia"/>
          <w:iCs/>
          <w:lang w:val="sv-SE"/>
        </w:rPr>
        <w:t xml:space="preserve"> subset</w:t>
      </w:r>
      <w:r w:rsidR="004B6C97">
        <w:rPr>
          <w:rFonts w:eastAsiaTheme="minorEastAsia"/>
          <w:iCs/>
          <w:lang w:val="sv-SE"/>
        </w:rPr>
        <w:t>s are chosen</w:t>
      </w:r>
      <w:r>
        <w:rPr>
          <w:rFonts w:eastAsiaTheme="minorEastAsia"/>
          <w:iCs/>
          <w:lang w:val="sv-SE"/>
        </w:rPr>
        <w:t xml:space="preserve"> based on coefficient energy from the </w:t>
      </w:r>
      <w:r w:rsidR="004B6C97">
        <w:rPr>
          <w:rFonts w:eastAsiaTheme="minorEastAsia"/>
          <w:iCs/>
          <w:lang w:val="sv-SE"/>
        </w:rPr>
        <w:t xml:space="preserve">set of all </w:t>
      </w:r>
      <m:oMath>
        <m:r>
          <w:rPr>
            <w:rFonts w:ascii="Cambria Math" w:eastAsiaTheme="minorEastAsia" w:hAnsi="Cambria Math"/>
            <w:lang w:val="sv-SE"/>
          </w:rPr>
          <m:t xml:space="preserve">13  </m:t>
        </m:r>
      </m:oMath>
      <w:r w:rsidR="004B6C97">
        <w:rPr>
          <w:rFonts w:eastAsiaTheme="minorEastAsia"/>
          <w:iCs/>
          <w:lang w:val="sv-SE"/>
        </w:rPr>
        <w:t>basis</w:t>
      </w:r>
      <w:r>
        <w:rPr>
          <w:rFonts w:eastAsiaTheme="minorEastAsia"/>
          <w:iCs/>
          <w:lang w:val="sv-SE"/>
        </w:rPr>
        <w:t xml:space="preserve"> vectors.</w:t>
      </w:r>
    </w:p>
    <w:p w:rsidR="000F6996" w:rsidRDefault="000F6996" w:rsidP="000F6996">
      <w:r>
        <w:t xml:space="preserve">The cell edge and average packet throughput relative to Rel-15 Type CSI using </w:t>
      </w:r>
      <w:r>
        <w:rPr>
          <w:i/>
        </w:rPr>
        <w:t>L</w:t>
      </w:r>
      <w:r>
        <w:t xml:space="preserve"> = 4 beams, </w:t>
      </w:r>
      <w:r w:rsidR="004679F0">
        <w:t>subband</w:t>
      </w:r>
      <w:r>
        <w:t xml:space="preserve"> amplitude, and 8-PSK co</w:t>
      </w:r>
      <w:r w:rsidR="00FA76A6">
        <w:t>-</w:t>
      </w:r>
      <w:r>
        <w:t xml:space="preserve">phasing are plotted in </w:t>
      </w:r>
      <w:r>
        <w:fldChar w:fldCharType="begin"/>
      </w:r>
      <w:r>
        <w:instrText xml:space="preserve"> REF _Ref534718968 \h </w:instrText>
      </w:r>
      <w:r>
        <w:fldChar w:fldCharType="separate"/>
      </w:r>
      <w:r>
        <w:t xml:space="preserve">Figure </w:t>
      </w:r>
      <w:r>
        <w:rPr>
          <w:noProof/>
        </w:rPr>
        <w:t>1</w:t>
      </w:r>
      <w:r>
        <w:fldChar w:fldCharType="end"/>
      </w:r>
      <w:r>
        <w:t xml:space="preserve"> and </w:t>
      </w:r>
      <w:r>
        <w:fldChar w:fldCharType="begin"/>
      </w:r>
      <w:r>
        <w:instrText xml:space="preserve"> REF _Ref534719100 \h </w:instrText>
      </w:r>
      <w:r>
        <w:fldChar w:fldCharType="separate"/>
      </w:r>
      <w:r>
        <w:t xml:space="preserve">Figure </w:t>
      </w:r>
      <w:r>
        <w:rPr>
          <w:noProof/>
        </w:rPr>
        <w:t>2</w:t>
      </w:r>
      <w:r>
        <w:fldChar w:fldCharType="end"/>
      </w:r>
      <w:r w:rsidR="00E77FEB">
        <w:t xml:space="preserve">.  </w:t>
      </w:r>
      <w:r w:rsidR="00843187">
        <w:t>Alt 1B is seen to be superior to Alt. 1A by about 0.5% in average cell throughput which corresponds to about 20 bits. The gai</w:t>
      </w:r>
      <w:r w:rsidR="0060362E">
        <w:t>ns in cell edge are even higher, between 0.5% and 1.0%</w:t>
      </w:r>
      <w:r w:rsidR="006C42BD">
        <w:t xml:space="preserve"> corresponding to 20 to 40 bits of overhead.</w:t>
      </w:r>
    </w:p>
    <w:p w:rsidR="001257EA" w:rsidRPr="00BA50D0" w:rsidRDefault="001257EA" w:rsidP="006C42BD">
      <w:pPr>
        <w:spacing w:before="120" w:after="120"/>
        <w:rPr>
          <w:b/>
          <w:i/>
        </w:rPr>
      </w:pPr>
      <w:r w:rsidRPr="00BA50D0">
        <w:rPr>
          <w:b/>
          <w:i/>
        </w:rPr>
        <w:t>Observation</w:t>
      </w:r>
      <w:r w:rsidR="001651EB" w:rsidRPr="00BA50D0">
        <w:rPr>
          <w:b/>
          <w:i/>
        </w:rPr>
        <w:t xml:space="preserve"> 1</w:t>
      </w:r>
      <w:r w:rsidR="006C42BD">
        <w:rPr>
          <w:b/>
          <w:i/>
        </w:rPr>
        <w:t xml:space="preserve">: </w:t>
      </w:r>
      <w:r w:rsidR="004F0E5C" w:rsidRPr="00BA50D0">
        <w:rPr>
          <w:b/>
          <w:i/>
        </w:rPr>
        <w:t xml:space="preserve">Alt 1B with the composition </w:t>
      </w:r>
      <w:r w:rsidR="00D02D2A">
        <w:rPr>
          <w:b/>
          <w:i/>
        </w:rPr>
        <w:t xml:space="preserve">across beam </w:t>
      </w:r>
      <w:r w:rsidR="004F0E5C" w:rsidRPr="00BA50D0">
        <w:rPr>
          <w:b/>
          <w:i/>
        </w:rPr>
        <w:t>of the K</w:t>
      </w:r>
      <w:r w:rsidR="004F0E5C" w:rsidRPr="00BA50D0">
        <w:rPr>
          <w:b/>
          <w:i/>
          <w:vertAlign w:val="subscript"/>
        </w:rPr>
        <w:t>0</w:t>
      </w:r>
      <w:r w:rsidR="004F0E5C" w:rsidRPr="00BA50D0">
        <w:rPr>
          <w:b/>
          <w:i/>
        </w:rPr>
        <w:t xml:space="preserve"> coefficients weighted according to </w:t>
      </w:r>
      <w:r w:rsidR="00D02D2A">
        <w:rPr>
          <w:b/>
          <w:i/>
        </w:rPr>
        <w:t xml:space="preserve">beam space ranking </w:t>
      </w:r>
      <w:r w:rsidR="004F0E5C" w:rsidRPr="00BA50D0">
        <w:rPr>
          <w:b/>
          <w:i/>
        </w:rPr>
        <w:t xml:space="preserve"> improves both cell edge and average user packet throughput compared to Alt 1A and </w:t>
      </w:r>
      <w:r w:rsidR="00FF4C2E">
        <w:rPr>
          <w:b/>
          <w:i/>
        </w:rPr>
        <w:t xml:space="preserve">Alt </w:t>
      </w:r>
      <w:r w:rsidR="004F0E5C" w:rsidRPr="00BA50D0">
        <w:rPr>
          <w:b/>
          <w:i/>
        </w:rPr>
        <w:t xml:space="preserve">2. </w:t>
      </w:r>
    </w:p>
    <w:p w:rsidR="006C42BD" w:rsidRPr="006C42BD" w:rsidRDefault="006C42BD" w:rsidP="000F6996">
      <w:r>
        <w:t>We therefore propose:</w:t>
      </w:r>
    </w:p>
    <w:p w:rsidR="001651EB" w:rsidRDefault="001651EB" w:rsidP="000F6996">
      <w:pPr>
        <w:rPr>
          <w:b/>
          <w:i/>
        </w:rPr>
      </w:pPr>
      <w:r w:rsidRPr="00BA50D0">
        <w:rPr>
          <w:b/>
          <w:i/>
        </w:rPr>
        <w:t xml:space="preserve">Proposal 1: </w:t>
      </w:r>
      <w:r w:rsidR="006C42BD">
        <w:rPr>
          <w:b/>
          <w:i/>
        </w:rPr>
        <w:t xml:space="preserve">Support </w:t>
      </w:r>
      <w:r w:rsidR="00D722B0" w:rsidRPr="00BA50D0">
        <w:rPr>
          <w:b/>
          <w:i/>
        </w:rPr>
        <w:t>common basis vectors with subset selection</w:t>
      </w:r>
      <w:r w:rsidR="006C42BD">
        <w:rPr>
          <w:b/>
          <w:i/>
        </w:rPr>
        <w:t>, Alt 1B,  for the method of linear combination selection</w:t>
      </w:r>
      <w:r w:rsidR="00D722B0" w:rsidRPr="00BA50D0">
        <w:rPr>
          <w:b/>
          <w:i/>
        </w:rPr>
        <w:t xml:space="preserve">. </w:t>
      </w:r>
    </w:p>
    <w:p w:rsidR="00D02D2A" w:rsidRPr="00BA50D0" w:rsidRDefault="00D02D2A" w:rsidP="000F6996">
      <w:pPr>
        <w:rPr>
          <w:b/>
          <w:i/>
        </w:rPr>
      </w:pPr>
      <w:r>
        <w:rPr>
          <w:b/>
          <w:i/>
        </w:rPr>
        <w:t xml:space="preserve">Proposal 2: </w:t>
      </w:r>
      <w:r w:rsidR="00E900E3">
        <w:rPr>
          <w:b/>
          <w:i/>
        </w:rPr>
        <w:t>In Alt 1, partition the K</w:t>
      </w:r>
      <w:r w:rsidR="00E900E3" w:rsidRPr="007D3CAF">
        <w:rPr>
          <w:b/>
          <w:i/>
          <w:vertAlign w:val="subscript"/>
        </w:rPr>
        <w:t>0</w:t>
      </w:r>
      <w:r w:rsidR="00E900E3">
        <w:rPr>
          <w:b/>
          <w:i/>
        </w:rPr>
        <w:t xml:space="preserve"> coefficients into subsets whose size are fixed or higher-layered configured and the assignment of subsets to beams dependent on on the beam’s energy. </w:t>
      </w:r>
    </w:p>
    <w:p w:rsidR="001D3E29" w:rsidRDefault="001D3E29" w:rsidP="00B8106F">
      <w:pPr>
        <w:spacing w:line="288" w:lineRule="auto"/>
        <w:contextualSpacing/>
        <w:rPr>
          <w:rFonts w:eastAsiaTheme="minorEastAsia"/>
          <w:iCs/>
          <w:lang w:val="sv-SE"/>
        </w:rPr>
      </w:pPr>
    </w:p>
    <w:p w:rsidR="001D3E29" w:rsidRDefault="000C2822" w:rsidP="00E77FEB">
      <w:pPr>
        <w:keepNext/>
        <w:spacing w:line="288" w:lineRule="auto"/>
        <w:contextualSpacing/>
        <w:jc w:val="center"/>
      </w:pPr>
      <w:r>
        <w:rPr>
          <w:noProof/>
        </w:rPr>
        <w:drawing>
          <wp:inline distT="0" distB="0" distL="0" distR="0" wp14:anchorId="0AC7F38C">
            <wp:extent cx="5486400" cy="30632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063240"/>
                    </a:xfrm>
                    <a:prstGeom prst="rect">
                      <a:avLst/>
                    </a:prstGeom>
                    <a:noFill/>
                  </pic:spPr>
                </pic:pic>
              </a:graphicData>
            </a:graphic>
          </wp:inline>
        </w:drawing>
      </w:r>
    </w:p>
    <w:p w:rsidR="007A408F" w:rsidRDefault="001D3E29" w:rsidP="001D3E29">
      <w:pPr>
        <w:pStyle w:val="Caption"/>
        <w:rPr>
          <w:rFonts w:eastAsiaTheme="minorEastAsia"/>
          <w:iCs/>
          <w:lang w:val="sv-SE"/>
        </w:rPr>
      </w:pPr>
      <w:bookmarkStart w:id="8" w:name="_Ref534718968"/>
      <w:r>
        <w:t xml:space="preserve">Figure </w:t>
      </w:r>
      <w:r>
        <w:fldChar w:fldCharType="begin"/>
      </w:r>
      <w:r>
        <w:instrText xml:space="preserve"> SEQ Figure \* ARABIC </w:instrText>
      </w:r>
      <w:r>
        <w:fldChar w:fldCharType="separate"/>
      </w:r>
      <w:r w:rsidR="004D3D75">
        <w:rPr>
          <w:noProof/>
        </w:rPr>
        <w:t>2</w:t>
      </w:r>
      <w:r>
        <w:fldChar w:fldCharType="end"/>
      </w:r>
      <w:bookmarkEnd w:id="8"/>
      <w:r>
        <w:t>:</w:t>
      </w:r>
      <w:r w:rsidR="00E77FEB">
        <w:t xml:space="preserve"> Comparison of basis subset selections schemes </w:t>
      </w:r>
      <w:r w:rsidR="00843187">
        <w:t xml:space="preserve">average user packet </w:t>
      </w:r>
      <w:r w:rsidR="00E77FEB">
        <w:t>throughput vs. total overhead.</w:t>
      </w:r>
    </w:p>
    <w:p w:rsidR="007A408F" w:rsidRDefault="007A408F" w:rsidP="00B8106F">
      <w:pPr>
        <w:spacing w:line="288" w:lineRule="auto"/>
        <w:contextualSpacing/>
        <w:rPr>
          <w:rFonts w:eastAsiaTheme="minorEastAsia"/>
          <w:iCs/>
          <w:lang w:val="sv-SE"/>
        </w:rPr>
      </w:pPr>
    </w:p>
    <w:p w:rsidR="001D3E29" w:rsidRDefault="00843187" w:rsidP="00150894">
      <w:pPr>
        <w:keepNext/>
        <w:spacing w:line="288" w:lineRule="auto"/>
        <w:contextualSpacing/>
        <w:jc w:val="center"/>
      </w:pPr>
      <w:r>
        <w:rPr>
          <w:noProof/>
        </w:rPr>
        <w:lastRenderedPageBreak/>
        <w:drawing>
          <wp:inline distT="0" distB="0" distL="0" distR="0" wp14:anchorId="2A3C69AB">
            <wp:extent cx="5486400" cy="30906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090672"/>
                    </a:xfrm>
                    <a:prstGeom prst="rect">
                      <a:avLst/>
                    </a:prstGeom>
                    <a:noFill/>
                  </pic:spPr>
                </pic:pic>
              </a:graphicData>
            </a:graphic>
          </wp:inline>
        </w:drawing>
      </w:r>
    </w:p>
    <w:p w:rsidR="007A408F" w:rsidRDefault="001D3E29" w:rsidP="001D3E29">
      <w:pPr>
        <w:pStyle w:val="Caption"/>
        <w:rPr>
          <w:rFonts w:eastAsiaTheme="minorEastAsia"/>
          <w:iCs/>
          <w:lang w:val="sv-SE"/>
        </w:rPr>
      </w:pPr>
      <w:bookmarkStart w:id="9" w:name="_Ref534719100"/>
      <w:r>
        <w:t xml:space="preserve">Figure </w:t>
      </w:r>
      <w:r>
        <w:fldChar w:fldCharType="begin"/>
      </w:r>
      <w:r>
        <w:instrText xml:space="preserve"> SEQ Figure \* ARABIC </w:instrText>
      </w:r>
      <w:r>
        <w:fldChar w:fldCharType="separate"/>
      </w:r>
      <w:r w:rsidR="004D3D75">
        <w:rPr>
          <w:noProof/>
        </w:rPr>
        <w:t>3</w:t>
      </w:r>
      <w:r>
        <w:fldChar w:fldCharType="end"/>
      </w:r>
      <w:bookmarkEnd w:id="9"/>
      <w:r>
        <w:t>:</w:t>
      </w:r>
      <w:r w:rsidR="00E77FEB">
        <w:t xml:space="preserve"> Comparison of basis subset selections schemes </w:t>
      </w:r>
      <w:r w:rsidR="00843187">
        <w:t xml:space="preserve">cell edge </w:t>
      </w:r>
      <w:r w:rsidR="00E77FEB">
        <w:t>throughput vs. total overhead.</w:t>
      </w:r>
    </w:p>
    <w:p w:rsidR="00DF5207" w:rsidRDefault="00DF5207" w:rsidP="0091758E">
      <w:pPr>
        <w:pStyle w:val="Heading1"/>
        <w:spacing w:before="240" w:after="0"/>
        <w:rPr>
          <w:kern w:val="2"/>
        </w:rPr>
      </w:pPr>
      <w:r>
        <w:rPr>
          <w:kern w:val="2"/>
        </w:rPr>
        <w:t>Oversampling Factor</w:t>
      </w:r>
    </w:p>
    <w:p w:rsidR="00DF5207" w:rsidRDefault="00610DA1" w:rsidP="00DF5207">
      <w:r>
        <w:t>The following options for oversampling were agreed at RAN1#95:</w:t>
      </w:r>
    </w:p>
    <w:p w:rsidR="008C588F" w:rsidRPr="00891C8F" w:rsidRDefault="008C588F" w:rsidP="008C588F">
      <w:pPr>
        <w:spacing w:line="288" w:lineRule="auto"/>
      </w:pPr>
      <w:r w:rsidRPr="00891C8F">
        <w:rPr>
          <w:b/>
          <w:u w:val="single"/>
        </w:rPr>
        <w:t>Offline agreement</w:t>
      </w:r>
      <w:r w:rsidRPr="00891C8F">
        <w:t>: In RAN1 NR-AH 1901, select one of the following alternatives for DFT basis oversampling factor(s) O</w:t>
      </w:r>
      <w:r w:rsidRPr="00891C8F">
        <w:rPr>
          <w:vertAlign w:val="subscript"/>
        </w:rPr>
        <w:t>3</w:t>
      </w:r>
      <w:r w:rsidRPr="00891C8F">
        <w:t>:</w:t>
      </w:r>
    </w:p>
    <w:p w:rsidR="008C588F" w:rsidRPr="00891C8F" w:rsidRDefault="008C588F" w:rsidP="008C588F">
      <w:pPr>
        <w:pStyle w:val="ListParagraph"/>
        <w:numPr>
          <w:ilvl w:val="0"/>
          <w:numId w:val="40"/>
        </w:numPr>
        <w:spacing w:after="60" w:line="288" w:lineRule="auto"/>
        <w:ind w:leftChars="0"/>
        <w:contextualSpacing/>
        <w:jc w:val="both"/>
        <w:rPr>
          <w:rFonts w:ascii="Times New Roman" w:hAnsi="Times New Roman"/>
        </w:rPr>
      </w:pPr>
      <w:r w:rsidRPr="00891C8F">
        <w:rPr>
          <w:rFonts w:ascii="Times New Roman" w:hAnsi="Times New Roman"/>
        </w:rPr>
        <w:t>Alt1. O</w:t>
      </w:r>
      <w:r w:rsidRPr="00891C8F">
        <w:rPr>
          <w:rFonts w:ascii="Times New Roman" w:hAnsi="Times New Roman"/>
          <w:vertAlign w:val="subscript"/>
        </w:rPr>
        <w:t xml:space="preserve">3 </w:t>
      </w:r>
      <w:r w:rsidRPr="00891C8F">
        <w:rPr>
          <w:rFonts w:ascii="Times New Roman" w:hAnsi="Times New Roman"/>
        </w:rPr>
        <w:t>= 4</w:t>
      </w:r>
    </w:p>
    <w:p w:rsidR="008C588F" w:rsidRPr="00891C8F" w:rsidRDefault="008C588F" w:rsidP="008C588F">
      <w:pPr>
        <w:pStyle w:val="ListParagraph"/>
        <w:numPr>
          <w:ilvl w:val="0"/>
          <w:numId w:val="40"/>
        </w:numPr>
        <w:spacing w:after="60" w:line="288" w:lineRule="auto"/>
        <w:ind w:leftChars="0"/>
        <w:contextualSpacing/>
        <w:jc w:val="both"/>
        <w:rPr>
          <w:rFonts w:ascii="Times New Roman" w:hAnsi="Times New Roman"/>
        </w:rPr>
      </w:pPr>
      <w:r w:rsidRPr="00891C8F">
        <w:rPr>
          <w:rFonts w:ascii="Times New Roman" w:hAnsi="Times New Roman"/>
        </w:rPr>
        <w:t>Alt2. O</w:t>
      </w:r>
      <w:r w:rsidRPr="00891C8F">
        <w:rPr>
          <w:rFonts w:ascii="Times New Roman" w:hAnsi="Times New Roman"/>
          <w:vertAlign w:val="subscript"/>
        </w:rPr>
        <w:t xml:space="preserve">3 </w:t>
      </w:r>
      <w:r w:rsidRPr="00891C8F">
        <w:rPr>
          <w:rFonts w:ascii="Times New Roman" w:hAnsi="Times New Roman"/>
        </w:rPr>
        <w:t>= 1 (critically sampled)</w:t>
      </w:r>
    </w:p>
    <w:p w:rsidR="008C588F" w:rsidRPr="00891C8F" w:rsidRDefault="008C588F" w:rsidP="008C588F">
      <w:pPr>
        <w:pStyle w:val="ListParagraph"/>
        <w:numPr>
          <w:ilvl w:val="0"/>
          <w:numId w:val="40"/>
        </w:numPr>
        <w:spacing w:after="60" w:line="288" w:lineRule="auto"/>
        <w:ind w:leftChars="0"/>
        <w:contextualSpacing/>
        <w:jc w:val="both"/>
        <w:rPr>
          <w:rFonts w:ascii="Times New Roman" w:hAnsi="Times New Roman"/>
        </w:rPr>
      </w:pPr>
      <w:r w:rsidRPr="00891C8F">
        <w:rPr>
          <w:rFonts w:ascii="Times New Roman" w:hAnsi="Times New Roman"/>
        </w:rPr>
        <w:t>Alt3. O</w:t>
      </w:r>
      <w:r w:rsidRPr="00891C8F">
        <w:rPr>
          <w:rFonts w:ascii="Times New Roman" w:hAnsi="Times New Roman"/>
          <w:vertAlign w:val="subscript"/>
        </w:rPr>
        <w:t xml:space="preserve">3 </w:t>
      </w:r>
      <w:r w:rsidRPr="00891C8F">
        <w:rPr>
          <w:rFonts w:ascii="Times New Roman" w:hAnsi="Times New Roman"/>
        </w:rPr>
        <w:t>is fixed for and depends on a given length of the DFT vector (N</w:t>
      </w:r>
      <w:r w:rsidRPr="00891C8F">
        <w:rPr>
          <w:rFonts w:ascii="Times New Roman" w:hAnsi="Times New Roman"/>
          <w:vertAlign w:val="subscript"/>
        </w:rPr>
        <w:t>3</w:t>
      </w:r>
      <w:r w:rsidRPr="00891C8F">
        <w:rPr>
          <w:rFonts w:ascii="Times New Roman" w:hAnsi="Times New Roman"/>
        </w:rPr>
        <w:t>) and/or bandwidth part, exact dependence is FFS</w:t>
      </w:r>
    </w:p>
    <w:p w:rsidR="008C588F" w:rsidRPr="00090497" w:rsidRDefault="008C588F" w:rsidP="00090497">
      <w:pPr>
        <w:spacing w:after="120"/>
        <w:rPr>
          <w:iCs/>
        </w:rPr>
      </w:pPr>
      <w:r w:rsidRPr="002A4C4D">
        <w:t xml:space="preserve">Assume Rel.15 3-bit amplitude and Rel.15 8PSK co-phasing for </w:t>
      </w:r>
      <m:oMath>
        <m:sSub>
          <m:sSubPr>
            <m:ctrlPr>
              <w:rPr>
                <w:rFonts w:ascii="Cambria Math" w:hAnsi="Cambria Math"/>
                <w:i/>
                <w:iCs/>
                <w:sz w:val="18"/>
              </w:rPr>
            </m:ctrlPr>
          </m:sSubPr>
          <m:e>
            <m:acc>
              <m:accPr>
                <m:chr m:val="̃"/>
                <m:ctrlPr>
                  <w:rPr>
                    <w:rFonts w:ascii="Cambria Math" w:hAnsi="Cambria Math"/>
                    <w:i/>
                    <w:iCs/>
                    <w:sz w:val="18"/>
                  </w:rPr>
                </m:ctrlPr>
              </m:accPr>
              <m:e>
                <m:r>
                  <m:rPr>
                    <m:sty m:val="bi"/>
                  </m:rPr>
                  <w:rPr>
                    <w:rFonts w:ascii="Cambria Math" w:hAnsi="Cambria Math"/>
                    <w:sz w:val="18"/>
                  </w:rPr>
                  <m:t>W</m:t>
                </m:r>
              </m:e>
            </m:acc>
          </m:e>
          <m:sub>
            <m:r>
              <w:rPr>
                <w:rFonts w:ascii="Cambria Math" w:hAnsi="Cambria Math"/>
                <w:sz w:val="18"/>
              </w:rPr>
              <m:t>2</m:t>
            </m:r>
          </m:sub>
        </m:sSub>
      </m:oMath>
      <w:r w:rsidRPr="002A4C4D">
        <w:rPr>
          <w:iCs/>
          <w:sz w:val="18"/>
        </w:rPr>
        <w:t xml:space="preserve"> </w:t>
      </w:r>
      <w:r w:rsidRPr="002A4C4D">
        <w:rPr>
          <w:iCs/>
        </w:rPr>
        <w:t>quantization for evaluation purposes</w:t>
      </w:r>
    </w:p>
    <w:p w:rsidR="009740C9" w:rsidRDefault="002A4C4D" w:rsidP="00DF5207">
      <w:r w:rsidRPr="002A4C4D">
        <w:rPr>
          <w:iCs/>
        </w:rPr>
        <w:t>Expanding the basi</w:t>
      </w:r>
      <w:r>
        <w:rPr>
          <w:iCs/>
        </w:rPr>
        <w:t xml:space="preserve">s to an oversampled DFT expands the basis from </w:t>
      </w:r>
      <w:r w:rsidRPr="00B07ECD">
        <w:rPr>
          <w:i/>
          <w:iCs/>
        </w:rPr>
        <w:t>N</w:t>
      </w:r>
      <w:r w:rsidRPr="00B07ECD">
        <w:rPr>
          <w:i/>
          <w:iCs/>
          <w:vertAlign w:val="subscript"/>
        </w:rPr>
        <w:t>3</w:t>
      </w:r>
      <w:r>
        <w:rPr>
          <w:iCs/>
        </w:rPr>
        <w:t xml:space="preserve"> orthogonal vectors to </w:t>
      </w:r>
      <w:r w:rsidRPr="00CA390C">
        <w:rPr>
          <w:i/>
          <w:iCs/>
        </w:rPr>
        <w:t>N</w:t>
      </w:r>
      <w:r w:rsidRPr="00CA390C">
        <w:rPr>
          <w:i/>
          <w:iCs/>
          <w:vertAlign w:val="subscript"/>
        </w:rPr>
        <w:t>3</w:t>
      </w:r>
      <w:r w:rsidRPr="00CA390C">
        <w:rPr>
          <w:i/>
        </w:rPr>
        <w:t>O</w:t>
      </w:r>
      <w:r w:rsidRPr="00CA390C">
        <w:rPr>
          <w:i/>
          <w:vertAlign w:val="subscript"/>
        </w:rPr>
        <w:t>3</w:t>
      </w:r>
      <w:r w:rsidRPr="002A4C4D">
        <w:t xml:space="preserve"> </w:t>
      </w:r>
      <w:r>
        <w:t xml:space="preserve">non-orthogonal vectors.  Using the expanded basis directly increases the overhead needed to indicate the selected basis and increases the complexity of basis selection. An alternative </w:t>
      </w:r>
      <w:r w:rsidR="0028714E">
        <w:t xml:space="preserve"> </w:t>
      </w:r>
      <w:r>
        <w:t xml:space="preserve">to using the expanded basis directly is to use the beam rotation approach used for </w:t>
      </w:r>
      <w:r w:rsidR="0028714E">
        <w:t xml:space="preserve">spatial </w:t>
      </w:r>
      <w:r>
        <w:t xml:space="preserve">beam selection. Here one out of </w:t>
      </w:r>
      <w:r w:rsidRPr="007D3CAF">
        <w:rPr>
          <w:i/>
        </w:rPr>
        <w:t>O</w:t>
      </w:r>
      <w:r w:rsidRPr="007D3CAF">
        <w:rPr>
          <w:i/>
          <w:vertAlign w:val="subscript"/>
        </w:rPr>
        <w:t>3</w:t>
      </w:r>
      <w:r>
        <w:t xml:space="preserve"> orthogonal subsets are chosen</w:t>
      </w:r>
      <w:r w:rsidR="009D76EB">
        <w:t xml:space="preserve"> from the expanded basis with the subset selection indicated.  The subset selection can be performed on a per beam or common beam basis. The advan</w:t>
      </w:r>
      <w:r w:rsidR="00705500">
        <w:t xml:space="preserve">tage of oversampling is that with the appropriate choice of sampling phase the coefficient’s’ energy can be concentrated in few basis vectors leading to potentially higher compression. </w:t>
      </w:r>
    </w:p>
    <w:p w:rsidR="00645445" w:rsidRDefault="00705500" w:rsidP="00DF5207">
      <w:r>
        <w:t xml:space="preserve">Alt 1 and 2 were compared by simulation for a 10 MHz bandwidth, </w:t>
      </w:r>
      <w:r w:rsidRPr="001651EB">
        <w:rPr>
          <w:i/>
        </w:rPr>
        <w:t>X</w:t>
      </w:r>
      <w:r>
        <w:t xml:space="preserve"> = 4 RBs precoding </w:t>
      </w:r>
      <w:r w:rsidR="004679F0">
        <w:t>subband</w:t>
      </w:r>
      <w:r>
        <w:t xml:space="preserve"> size,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 13), and Alt 1A coefficient selection with </w:t>
      </w:r>
      <w:r>
        <w:rPr>
          <w:i/>
        </w:rPr>
        <w:t xml:space="preserve">M </w:t>
      </w:r>
      <w:r>
        <w:t xml:space="preserve">= 4.  </w:t>
      </w:r>
      <w:r w:rsidR="001A0455">
        <w:t xml:space="preserve">For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1A0455">
        <w:t xml:space="preserve"> = 4, o</w:t>
      </w:r>
      <w:r w:rsidR="001A0455" w:rsidRPr="001A0455">
        <w:t>ne</w:t>
      </w:r>
      <w:r w:rsidR="001A0455">
        <w:t xml:space="preserve"> of four</w:t>
      </w:r>
      <w:r>
        <w:t xml:space="preserve"> beam-common subset</w:t>
      </w:r>
      <w:r w:rsidR="001A0455">
        <w:t>s</w:t>
      </w:r>
      <w:r>
        <w:t xml:space="preserve"> of orthogonal basis vectors was chosen </w:t>
      </w:r>
      <w:r w:rsidR="001A0455">
        <w:t xml:space="preserve">from the oversampled DFT basis based on energy summed over beams of the top 4 coefficient indices. </w:t>
      </w:r>
      <w:r>
        <w:t xml:space="preserve">Other parameters are those used in the simulation of Alt 1A coefficient selection. </w:t>
      </w:r>
      <w:r w:rsidR="001A0455">
        <w:t xml:space="preserve">The results are shown in </w:t>
      </w:r>
      <w:r w:rsidR="001A0455">
        <w:fldChar w:fldCharType="begin"/>
      </w:r>
      <w:r w:rsidR="001A0455">
        <w:instrText xml:space="preserve"> REF _Ref534823659 \h </w:instrText>
      </w:r>
      <w:r w:rsidR="001A0455">
        <w:fldChar w:fldCharType="separate"/>
      </w:r>
      <w:r w:rsidR="001A0455">
        <w:t xml:space="preserve">Table </w:t>
      </w:r>
      <w:r w:rsidR="001A0455">
        <w:rPr>
          <w:noProof/>
        </w:rPr>
        <w:t>4</w:t>
      </w:r>
      <w:r w:rsidR="001A0455">
        <w:fldChar w:fldCharType="end"/>
      </w:r>
      <w:r w:rsidR="001A0455">
        <w:t xml:space="preserve">.  Cell edge throughput relative to Release 15 Type II is the practically the same, within 0.1%, while the UPT increase by 1.5%.  </w:t>
      </w:r>
    </w:p>
    <w:p w:rsidR="001651EB" w:rsidRPr="00BD2011" w:rsidRDefault="001651EB" w:rsidP="001651EB">
      <w:pPr>
        <w:rPr>
          <w:b/>
          <w:i/>
        </w:rPr>
      </w:pPr>
      <w:r w:rsidRPr="00BD2011">
        <w:rPr>
          <w:b/>
          <w:i/>
        </w:rPr>
        <w:t xml:space="preserve">Observation 2: Oversampling by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3</m:t>
            </m:r>
          </m:sub>
        </m:sSub>
      </m:oMath>
      <w:r w:rsidRPr="00BD2011">
        <w:rPr>
          <w:b/>
          <w:i/>
        </w:rPr>
        <w:t xml:space="preserve"> = 4 provides non-negligible UPT throughput compared to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3</m:t>
            </m:r>
          </m:sub>
        </m:sSub>
      </m:oMath>
      <w:r w:rsidRPr="00BD2011">
        <w:rPr>
          <w:b/>
          <w:i/>
        </w:rPr>
        <w:t xml:space="preserve"> = 1 for 10 MHz.</w:t>
      </w:r>
    </w:p>
    <w:p w:rsidR="001A0455" w:rsidRDefault="001A0455" w:rsidP="001A0455">
      <w:pPr>
        <w:pStyle w:val="Caption"/>
        <w:keepNext/>
      </w:pPr>
      <w:bookmarkStart w:id="10" w:name="_Ref534823659"/>
      <w:r>
        <w:lastRenderedPageBreak/>
        <w:t xml:space="preserve">Table </w:t>
      </w:r>
      <w:r>
        <w:fldChar w:fldCharType="begin"/>
      </w:r>
      <w:r>
        <w:instrText xml:space="preserve"> SEQ Table \* ARABIC </w:instrText>
      </w:r>
      <w:r>
        <w:fldChar w:fldCharType="separate"/>
      </w:r>
      <w:r>
        <w:rPr>
          <w:noProof/>
        </w:rPr>
        <w:t>4</w:t>
      </w:r>
      <w:r>
        <w:fldChar w:fldCharType="end"/>
      </w:r>
      <w:bookmarkEnd w:id="10"/>
      <w:r>
        <w:t xml:space="preserve">: Comparison of oversampling alternatives 1 and 2 </w:t>
      </w:r>
    </w:p>
    <w:tbl>
      <w:tblPr>
        <w:tblW w:w="5670" w:type="dxa"/>
        <w:jc w:val="center"/>
        <w:tblLayout w:type="fixed"/>
        <w:tblLook w:val="04A0" w:firstRow="1" w:lastRow="0" w:firstColumn="1" w:lastColumn="0" w:noHBand="0" w:noVBand="1"/>
      </w:tblPr>
      <w:tblGrid>
        <w:gridCol w:w="2776"/>
        <w:gridCol w:w="1274"/>
        <w:gridCol w:w="1620"/>
      </w:tblGrid>
      <w:tr w:rsidR="009740C9" w:rsidRPr="009740C9" w:rsidTr="009740C9">
        <w:trPr>
          <w:trHeight w:val="1200"/>
          <w:jc w:val="center"/>
        </w:trPr>
        <w:tc>
          <w:tcPr>
            <w:tcW w:w="2776" w:type="dxa"/>
            <w:tcBorders>
              <w:top w:val="single" w:sz="4" w:space="0" w:color="auto"/>
              <w:left w:val="single" w:sz="4" w:space="0" w:color="auto"/>
              <w:bottom w:val="single" w:sz="4" w:space="0" w:color="auto"/>
              <w:right w:val="single" w:sz="4" w:space="0" w:color="auto"/>
            </w:tcBorders>
            <w:shd w:val="clear" w:color="000000" w:fill="9BC2E6"/>
            <w:vAlign w:val="bottom"/>
            <w:hideMark/>
          </w:tcPr>
          <w:p w:rsidR="009740C9" w:rsidRPr="009740C9" w:rsidRDefault="009740C9" w:rsidP="009740C9">
            <w:pPr>
              <w:spacing w:before="0" w:after="0" w:line="240" w:lineRule="auto"/>
              <w:jc w:val="left"/>
              <w:rPr>
                <w:rFonts w:ascii="Calibri" w:eastAsia="Times New Roman" w:hAnsi="Calibri" w:cs="Calibri"/>
                <w:color w:val="000000"/>
                <w:sz w:val="22"/>
                <w:szCs w:val="22"/>
              </w:rPr>
            </w:pPr>
            <w:r w:rsidRPr="009740C9">
              <w:rPr>
                <w:rFonts w:ascii="Calibri" w:eastAsia="Times New Roman" w:hAnsi="Calibri" w:cs="Calibri"/>
                <w:color w:val="000000"/>
                <w:sz w:val="22"/>
                <w:szCs w:val="22"/>
              </w:rPr>
              <w:t> </w:t>
            </w:r>
          </w:p>
        </w:tc>
        <w:tc>
          <w:tcPr>
            <w:tcW w:w="1274" w:type="dxa"/>
            <w:tcBorders>
              <w:top w:val="single" w:sz="4" w:space="0" w:color="auto"/>
              <w:left w:val="nil"/>
              <w:bottom w:val="single" w:sz="4" w:space="0" w:color="auto"/>
              <w:right w:val="single" w:sz="4" w:space="0" w:color="auto"/>
            </w:tcBorders>
            <w:shd w:val="clear" w:color="000000" w:fill="9BC2E6"/>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relative cell edge</w:t>
            </w:r>
          </w:p>
        </w:tc>
        <w:tc>
          <w:tcPr>
            <w:tcW w:w="1620" w:type="dxa"/>
            <w:tcBorders>
              <w:top w:val="single" w:sz="4" w:space="0" w:color="auto"/>
              <w:left w:val="nil"/>
              <w:bottom w:val="single" w:sz="4" w:space="0" w:color="auto"/>
              <w:right w:val="single" w:sz="4" w:space="0" w:color="auto"/>
            </w:tcBorders>
            <w:shd w:val="clear" w:color="000000" w:fill="9BC2E6"/>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relative UPT</w:t>
            </w:r>
          </w:p>
        </w:tc>
      </w:tr>
      <w:tr w:rsidR="009740C9" w:rsidRPr="009740C9" w:rsidTr="009740C9">
        <w:trPr>
          <w:trHeight w:val="467"/>
          <w:jc w:val="center"/>
        </w:trPr>
        <w:tc>
          <w:tcPr>
            <w:tcW w:w="2776" w:type="dxa"/>
            <w:tcBorders>
              <w:top w:val="nil"/>
              <w:left w:val="single" w:sz="4" w:space="0" w:color="auto"/>
              <w:bottom w:val="single" w:sz="4" w:space="0" w:color="auto"/>
              <w:right w:val="single" w:sz="4" w:space="0" w:color="auto"/>
            </w:tcBorders>
            <w:shd w:val="clear" w:color="auto" w:fill="auto"/>
            <w:vAlign w:val="center"/>
            <w:hideMark/>
          </w:tcPr>
          <w:p w:rsidR="009740C9" w:rsidRPr="009740C9" w:rsidRDefault="00705500" w:rsidP="009740C9">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No oversampling</w:t>
            </w:r>
            <w:r w:rsidR="009740C9" w:rsidRPr="009740C9">
              <w:rPr>
                <w:rFonts w:ascii="Calibri" w:eastAsia="Times New Roman" w:hAnsi="Calibri" w:cs="Calibri"/>
                <w:color w:val="000000"/>
                <w:sz w:val="22"/>
                <w:szCs w:val="22"/>
              </w:rPr>
              <w:t xml:space="preserve"> </w:t>
            </w:r>
            <w:r w:rsidR="009740C9" w:rsidRPr="009740C9">
              <w:rPr>
                <w:rFonts w:ascii="Calibri" w:eastAsia="Times New Roman" w:hAnsi="Calibri" w:cs="Calibri"/>
                <w:i/>
                <w:iCs/>
                <w:color w:val="000000"/>
                <w:sz w:val="22"/>
                <w:szCs w:val="22"/>
              </w:rPr>
              <w:t>O</w:t>
            </w:r>
            <w:r w:rsidR="009740C9" w:rsidRPr="009740C9">
              <w:rPr>
                <w:rFonts w:ascii="Calibri" w:eastAsia="Times New Roman" w:hAnsi="Calibri" w:cs="Calibri"/>
                <w:i/>
                <w:iCs/>
                <w:color w:val="000000"/>
                <w:sz w:val="22"/>
                <w:szCs w:val="22"/>
                <w:vertAlign w:val="subscript"/>
              </w:rPr>
              <w:t>3</w:t>
            </w:r>
            <w:r w:rsidR="009740C9" w:rsidRPr="009740C9">
              <w:rPr>
                <w:rFonts w:ascii="Calibri" w:eastAsia="Times New Roman" w:hAnsi="Calibri" w:cs="Calibri"/>
                <w:color w:val="000000"/>
                <w:sz w:val="22"/>
                <w:szCs w:val="22"/>
              </w:rPr>
              <w:t xml:space="preserve"> = 1</w:t>
            </w:r>
          </w:p>
        </w:tc>
        <w:tc>
          <w:tcPr>
            <w:tcW w:w="1274" w:type="dxa"/>
            <w:tcBorders>
              <w:top w:val="nil"/>
              <w:left w:val="nil"/>
              <w:bottom w:val="single" w:sz="4" w:space="0" w:color="auto"/>
              <w:right w:val="single" w:sz="4" w:space="0" w:color="auto"/>
            </w:tcBorders>
            <w:shd w:val="clear" w:color="auto" w:fill="auto"/>
            <w:noWrap/>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100.5%</w:t>
            </w:r>
          </w:p>
        </w:tc>
        <w:tc>
          <w:tcPr>
            <w:tcW w:w="1620" w:type="dxa"/>
            <w:tcBorders>
              <w:top w:val="nil"/>
              <w:left w:val="nil"/>
              <w:bottom w:val="single" w:sz="4" w:space="0" w:color="auto"/>
              <w:right w:val="single" w:sz="4" w:space="0" w:color="auto"/>
            </w:tcBorders>
            <w:shd w:val="clear" w:color="auto" w:fill="auto"/>
            <w:noWrap/>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101.4%</w:t>
            </w:r>
          </w:p>
        </w:tc>
      </w:tr>
      <w:tr w:rsidR="009740C9" w:rsidRPr="009740C9" w:rsidTr="009740C9">
        <w:trPr>
          <w:trHeight w:val="485"/>
          <w:jc w:val="center"/>
        </w:trPr>
        <w:tc>
          <w:tcPr>
            <w:tcW w:w="2776" w:type="dxa"/>
            <w:tcBorders>
              <w:top w:val="nil"/>
              <w:left w:val="single" w:sz="4" w:space="0" w:color="auto"/>
              <w:bottom w:val="single" w:sz="4" w:space="0" w:color="auto"/>
              <w:right w:val="single" w:sz="4" w:space="0" w:color="auto"/>
            </w:tcBorders>
            <w:shd w:val="clear" w:color="auto" w:fill="auto"/>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 xml:space="preserve"> </w:t>
            </w:r>
            <w:r w:rsidRPr="009740C9">
              <w:rPr>
                <w:rFonts w:ascii="Calibri" w:eastAsia="Times New Roman" w:hAnsi="Calibri" w:cs="Calibri"/>
                <w:i/>
                <w:iCs/>
                <w:color w:val="000000"/>
                <w:sz w:val="22"/>
                <w:szCs w:val="22"/>
              </w:rPr>
              <w:t>O</w:t>
            </w:r>
            <w:r w:rsidRPr="009740C9">
              <w:rPr>
                <w:rFonts w:ascii="Calibri" w:eastAsia="Times New Roman" w:hAnsi="Calibri" w:cs="Calibri"/>
                <w:i/>
                <w:iCs/>
                <w:color w:val="000000"/>
                <w:sz w:val="22"/>
                <w:szCs w:val="22"/>
                <w:vertAlign w:val="subscript"/>
              </w:rPr>
              <w:t>3</w:t>
            </w:r>
            <w:r w:rsidRPr="009740C9">
              <w:rPr>
                <w:rFonts w:ascii="Calibri" w:eastAsia="Times New Roman" w:hAnsi="Calibri" w:cs="Calibri"/>
                <w:color w:val="000000"/>
                <w:sz w:val="22"/>
                <w:szCs w:val="22"/>
              </w:rPr>
              <w:t xml:space="preserve"> = 4 oversampling,</w:t>
            </w:r>
          </w:p>
        </w:tc>
        <w:tc>
          <w:tcPr>
            <w:tcW w:w="1274" w:type="dxa"/>
            <w:tcBorders>
              <w:top w:val="nil"/>
              <w:left w:val="nil"/>
              <w:bottom w:val="single" w:sz="4" w:space="0" w:color="auto"/>
              <w:right w:val="single" w:sz="4" w:space="0" w:color="auto"/>
            </w:tcBorders>
            <w:shd w:val="clear" w:color="auto" w:fill="auto"/>
            <w:noWrap/>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100.4%</w:t>
            </w:r>
          </w:p>
        </w:tc>
        <w:tc>
          <w:tcPr>
            <w:tcW w:w="1620" w:type="dxa"/>
            <w:tcBorders>
              <w:top w:val="nil"/>
              <w:left w:val="nil"/>
              <w:bottom w:val="single" w:sz="4" w:space="0" w:color="auto"/>
              <w:right w:val="single" w:sz="4" w:space="0" w:color="auto"/>
            </w:tcBorders>
            <w:shd w:val="clear" w:color="auto" w:fill="auto"/>
            <w:noWrap/>
            <w:vAlign w:val="center"/>
            <w:hideMark/>
          </w:tcPr>
          <w:p w:rsidR="009740C9" w:rsidRPr="009740C9" w:rsidRDefault="009740C9" w:rsidP="009740C9">
            <w:pPr>
              <w:spacing w:before="0" w:after="0" w:line="240" w:lineRule="auto"/>
              <w:jc w:val="center"/>
              <w:rPr>
                <w:rFonts w:ascii="Calibri" w:eastAsia="Times New Roman" w:hAnsi="Calibri" w:cs="Calibri"/>
                <w:color w:val="000000"/>
                <w:sz w:val="22"/>
                <w:szCs w:val="22"/>
              </w:rPr>
            </w:pPr>
            <w:r w:rsidRPr="009740C9">
              <w:rPr>
                <w:rFonts w:ascii="Calibri" w:eastAsia="Times New Roman" w:hAnsi="Calibri" w:cs="Calibri"/>
                <w:color w:val="000000"/>
                <w:sz w:val="22"/>
                <w:szCs w:val="22"/>
              </w:rPr>
              <w:t>101.9%</w:t>
            </w:r>
          </w:p>
        </w:tc>
      </w:tr>
    </w:tbl>
    <w:p w:rsidR="009740C9" w:rsidRDefault="009740C9" w:rsidP="00DF5207"/>
    <w:p w:rsidR="0028714E" w:rsidRDefault="00CC18EF" w:rsidP="001651EB">
      <w:r>
        <w:t xml:space="preserve">In our companion contribution the dependence of the performance of oversampled vs. critical sampling as a function of the DFT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is evaluated both through analysis and simulation of the case of a single tap channel</w:t>
      </w:r>
      <w:r w:rsidR="00543B5F">
        <w:t xml:space="preserve"> </w:t>
      </w:r>
      <w:r w:rsidR="00543B5F">
        <w:fldChar w:fldCharType="begin"/>
      </w:r>
      <w:r w:rsidR="00543B5F">
        <w:instrText xml:space="preserve"> REF _Ref534999340 \r \h </w:instrText>
      </w:r>
      <w:r w:rsidR="00543B5F">
        <w:fldChar w:fldCharType="separate"/>
      </w:r>
      <w:r w:rsidR="00543B5F">
        <w:t>[3]</w:t>
      </w:r>
      <w:r w:rsidR="00543B5F">
        <w:fldChar w:fldCharType="end"/>
      </w:r>
      <w:r>
        <w:t>. This is equivalent to a frequency-domain beam combining coefficient  having linear phase across frequency and performing compression with a single s</w:t>
      </w:r>
      <w:r w:rsidR="0089677B">
        <w:t xml:space="preserve">electable basis vector.  The improvement in fractional recovered power by a single basis vector due to oversampling was shown to have little dependence on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90EEA">
        <w:t>.</w:t>
      </w:r>
    </w:p>
    <w:p w:rsidR="00150894" w:rsidRDefault="00645445" w:rsidP="001651EB">
      <w:r>
        <w:t xml:space="preserve">The additional performance gain which can be achieved with </w:t>
      </w:r>
      <w:r w:rsidRPr="001651EB">
        <w:rPr>
          <w:i/>
        </w:rPr>
        <w:t>O</w:t>
      </w:r>
      <w:r w:rsidRPr="001651EB">
        <w:rPr>
          <w:rFonts w:ascii="Times New Roman Italic" w:hAnsi="Times New Roman Italic"/>
          <w:i/>
          <w:vertAlign w:val="subscript"/>
        </w:rPr>
        <w:t>3</w:t>
      </w:r>
      <w:r>
        <w:t xml:space="preserve"> factors greater than 4 is expected to be negligible.  Therefore we support Alt 1, a fixed oversampling factor of 4.</w:t>
      </w:r>
    </w:p>
    <w:p w:rsidR="00150894" w:rsidRDefault="00150894" w:rsidP="001651EB"/>
    <w:p w:rsidR="00645445" w:rsidRPr="00BD2011" w:rsidRDefault="001651EB" w:rsidP="001651EB">
      <w:pPr>
        <w:rPr>
          <w:b/>
          <w:i/>
        </w:rPr>
      </w:pPr>
      <w:r w:rsidRPr="00BD2011">
        <w:rPr>
          <w:b/>
          <w:i/>
        </w:rPr>
        <w:t xml:space="preserve">Proposal </w:t>
      </w:r>
      <w:r w:rsidR="0028714E">
        <w:rPr>
          <w:b/>
          <w:i/>
        </w:rPr>
        <w:t>3</w:t>
      </w:r>
      <w:r w:rsidR="00645445" w:rsidRPr="00BD2011">
        <w:rPr>
          <w:b/>
          <w:i/>
        </w:rPr>
        <w:t xml:space="preserve">: </w:t>
      </w:r>
      <w:r w:rsidRPr="00BD2011">
        <w:rPr>
          <w:b/>
          <w:i/>
        </w:rPr>
        <w:t xml:space="preserve">  </w:t>
      </w:r>
      <w:r w:rsidR="0023163F" w:rsidRPr="00BD2011">
        <w:rPr>
          <w:b/>
          <w:i/>
        </w:rPr>
        <w:t xml:space="preserve">The DFT basis oversampling factor should be fixed to  </w:t>
      </w:r>
      <w:r w:rsidRPr="00BD2011">
        <w:rPr>
          <w:b/>
          <w:i/>
        </w:rPr>
        <w:t>O</w:t>
      </w:r>
      <w:r w:rsidRPr="00BD2011">
        <w:rPr>
          <w:rFonts w:ascii="Times New Roman Italic" w:hAnsi="Times New Roman Italic"/>
          <w:b/>
          <w:i/>
          <w:vertAlign w:val="subscript"/>
        </w:rPr>
        <w:t>3</w:t>
      </w:r>
      <w:r w:rsidRPr="00BD2011">
        <w:rPr>
          <w:b/>
          <w:i/>
        </w:rPr>
        <w:t xml:space="preserve"> = 4 </w:t>
      </w:r>
      <w:r w:rsidR="0023163F" w:rsidRPr="00BD2011">
        <w:rPr>
          <w:b/>
          <w:i/>
        </w:rPr>
        <w:t>(Alt 1)</w:t>
      </w:r>
    </w:p>
    <w:p w:rsidR="00645445" w:rsidRPr="00DF5207" w:rsidRDefault="00645445" w:rsidP="00DF5207"/>
    <w:p w:rsidR="0091758E" w:rsidRDefault="00DF5207" w:rsidP="0091758E">
      <w:pPr>
        <w:pStyle w:val="Heading1"/>
        <w:spacing w:before="240" w:after="0"/>
      </w:pPr>
      <w:r w:rsidRPr="00DB505C">
        <w:t>FD compression unit</w:t>
      </w:r>
      <w:r>
        <w:t xml:space="preserve"> size</w:t>
      </w:r>
    </w:p>
    <w:p w:rsidR="00246E14" w:rsidRDefault="00246E14" w:rsidP="00246E14"/>
    <w:p w:rsidR="009240B2" w:rsidRPr="009240B2" w:rsidRDefault="009240B2" w:rsidP="009240B2">
      <w:pPr>
        <w:pStyle w:val="Style1"/>
        <w:numPr>
          <w:ilvl w:val="0"/>
          <w:numId w:val="39"/>
        </w:numPr>
        <w:spacing w:after="60"/>
        <w:rPr>
          <w:rFonts w:cs="Times New Roman"/>
          <w:lang w:val="en-US"/>
        </w:rPr>
      </w:pPr>
      <w:r w:rsidRPr="009240B2">
        <w:rPr>
          <w:rFonts w:cs="Times New Roman"/>
          <w:lang w:val="en-US"/>
        </w:rPr>
        <w:t xml:space="preserve">Alt1. </w:t>
      </w:r>
      <w:r w:rsidR="004679F0">
        <w:rPr>
          <w:rFonts w:cs="Times New Roman"/>
          <w:lang w:val="en-US"/>
        </w:rPr>
        <w:t>Subband</w:t>
      </w:r>
      <w:r w:rsidRPr="009240B2">
        <w:rPr>
          <w:rFonts w:cs="Times New Roman"/>
          <w:lang w:val="en-US"/>
        </w:rPr>
        <w:t xml:space="preserve"> (SB), wherein the SB size for precoder/PMI compression is the same as the CQI </w:t>
      </w:r>
      <w:r w:rsidR="004679F0">
        <w:rPr>
          <w:rFonts w:cs="Times New Roman"/>
          <w:lang w:val="en-US"/>
        </w:rPr>
        <w:t>subband</w:t>
      </w:r>
      <w:r w:rsidRPr="009240B2">
        <w:rPr>
          <w:rFonts w:cs="Times New Roman"/>
          <w:lang w:val="en-US"/>
        </w:rPr>
        <w:t xml:space="preserve"> size</w:t>
      </w:r>
    </w:p>
    <w:p w:rsidR="009240B2" w:rsidRPr="009240B2" w:rsidRDefault="009240B2" w:rsidP="009240B2">
      <w:pPr>
        <w:pStyle w:val="Style1"/>
        <w:numPr>
          <w:ilvl w:val="0"/>
          <w:numId w:val="39"/>
        </w:numPr>
        <w:spacing w:after="60"/>
        <w:rPr>
          <w:rFonts w:cs="Times New Roman"/>
          <w:lang w:val="en-US"/>
        </w:rPr>
      </w:pPr>
      <w:r w:rsidRPr="009240B2">
        <w:rPr>
          <w:rFonts w:cs="Times New Roman"/>
          <w:lang w:val="en-US"/>
        </w:rPr>
        <w:t xml:space="preserve">Alt2. X resource blocks (RBs), different from CQI </w:t>
      </w:r>
      <w:r w:rsidR="004679F0">
        <w:rPr>
          <w:rFonts w:cs="Times New Roman"/>
          <w:lang w:val="en-US"/>
        </w:rPr>
        <w:t>subband</w:t>
      </w:r>
      <w:r w:rsidRPr="009240B2">
        <w:rPr>
          <w:rFonts w:cs="Times New Roman"/>
          <w:lang w:val="en-US"/>
        </w:rPr>
        <w:t xml:space="preserve"> size. Two sub-alternatives </w:t>
      </w:r>
    </w:p>
    <w:p w:rsidR="009240B2" w:rsidRPr="009240B2" w:rsidRDefault="009240B2" w:rsidP="009240B2">
      <w:pPr>
        <w:pStyle w:val="Style1"/>
        <w:numPr>
          <w:ilvl w:val="1"/>
          <w:numId w:val="39"/>
        </w:numPr>
        <w:spacing w:after="60"/>
        <w:rPr>
          <w:rFonts w:cs="Times New Roman"/>
          <w:lang w:val="en-US"/>
        </w:rPr>
      </w:pPr>
      <w:r w:rsidRPr="009240B2">
        <w:rPr>
          <w:rFonts w:cs="Times New Roman"/>
          <w:lang w:val="en-US"/>
        </w:rPr>
        <w:t>Alt2.1 X = 1</w:t>
      </w:r>
    </w:p>
    <w:p w:rsidR="009240B2" w:rsidRPr="009240B2" w:rsidRDefault="009240B2" w:rsidP="009240B2">
      <w:pPr>
        <w:pStyle w:val="Style1"/>
        <w:numPr>
          <w:ilvl w:val="1"/>
          <w:numId w:val="39"/>
        </w:numPr>
        <w:spacing w:after="60"/>
        <w:rPr>
          <w:rFonts w:cs="Times New Roman"/>
          <w:lang w:val="en-US"/>
        </w:rPr>
      </w:pPr>
      <w:r w:rsidRPr="009240B2">
        <w:rPr>
          <w:rFonts w:cs="Times New Roman"/>
          <w:lang w:val="en-US"/>
        </w:rPr>
        <w:t xml:space="preserve">Alt2.2 X = CQI SB size / R where R&gt;1 is a predetermined integer </w:t>
      </w:r>
    </w:p>
    <w:p w:rsidR="009240B2" w:rsidRPr="009240B2" w:rsidRDefault="009240B2" w:rsidP="009240B2">
      <w:pPr>
        <w:pStyle w:val="Style1"/>
        <w:numPr>
          <w:ilvl w:val="2"/>
          <w:numId w:val="39"/>
        </w:numPr>
        <w:spacing w:after="60"/>
        <w:rPr>
          <w:rFonts w:cs="Times New Roman"/>
          <w:lang w:val="en-US"/>
        </w:rPr>
      </w:pPr>
      <w:r w:rsidRPr="009240B2">
        <w:rPr>
          <w:rFonts w:cs="Times New Roman"/>
          <w:lang w:val="en-US"/>
        </w:rPr>
        <w:t>Only one R value is supported. FFS: the value of R</w:t>
      </w:r>
    </w:p>
    <w:p w:rsidR="009240B2" w:rsidRPr="009240B2" w:rsidRDefault="009240B2" w:rsidP="009240B2">
      <w:pPr>
        <w:pStyle w:val="Style1"/>
        <w:numPr>
          <w:ilvl w:val="1"/>
          <w:numId w:val="39"/>
        </w:numPr>
        <w:spacing w:after="60"/>
        <w:rPr>
          <w:rFonts w:cs="Times New Roman"/>
          <w:lang w:val="en-US"/>
        </w:rPr>
      </w:pPr>
      <w:r w:rsidRPr="009240B2">
        <w:rPr>
          <w:rFonts w:cs="Times New Roman"/>
          <w:lang w:val="en-US"/>
        </w:rPr>
        <w:t xml:space="preserve">Alt2.3 X = {2, 4} where X is higher-layer configured </w:t>
      </w:r>
    </w:p>
    <w:p w:rsidR="009240B2" w:rsidRPr="009240B2" w:rsidRDefault="009240B2" w:rsidP="009240B2">
      <w:pPr>
        <w:pStyle w:val="Style1"/>
        <w:spacing w:after="60"/>
        <w:ind w:firstLine="0"/>
        <w:rPr>
          <w:rFonts w:cs="Times New Roman"/>
          <w:lang w:val="en-US"/>
        </w:rPr>
      </w:pPr>
      <w:r w:rsidRPr="009240B2">
        <w:rPr>
          <w:rFonts w:cs="Times New Roman"/>
          <w:lang w:val="en-US"/>
        </w:rPr>
        <w:t xml:space="preserve">Assume Rel.15 3-bit amplitude and Rel.15 8PSK co-phasing for </w:t>
      </w:r>
      <m:oMath>
        <m:sSub>
          <m:sSubPr>
            <m:ctrlPr>
              <w:rPr>
                <w:rFonts w:ascii="Cambria Math" w:hAnsi="Cambria Math" w:cs="Times New Roman"/>
                <w:i/>
                <w:iCs/>
                <w:sz w:val="18"/>
              </w:rPr>
            </m:ctrlPr>
          </m:sSubPr>
          <m:e>
            <m:acc>
              <m:accPr>
                <m:chr m:val="̃"/>
                <m:ctrlPr>
                  <w:rPr>
                    <w:rFonts w:ascii="Cambria Math" w:hAnsi="Cambria Math" w:cs="Times New Roman"/>
                    <w:i/>
                    <w:iCs/>
                    <w:sz w:val="18"/>
                  </w:rPr>
                </m:ctrlPr>
              </m:accPr>
              <m:e>
                <m:r>
                  <m:rPr>
                    <m:sty m:val="bi"/>
                  </m:rPr>
                  <w:rPr>
                    <w:rFonts w:ascii="Cambria Math" w:hAnsi="Cambria Math" w:cs="Times New Roman"/>
                    <w:sz w:val="18"/>
                  </w:rPr>
                  <m:t>W</m:t>
                </m:r>
              </m:e>
            </m:acc>
          </m:e>
          <m:sub>
            <m:r>
              <w:rPr>
                <w:rFonts w:ascii="Cambria Math" w:hAnsi="Cambria Math" w:cs="Times New Roman"/>
                <w:sz w:val="18"/>
              </w:rPr>
              <m:t>2</m:t>
            </m:r>
          </m:sub>
        </m:sSub>
      </m:oMath>
      <w:r w:rsidRPr="009240B2">
        <w:rPr>
          <w:rFonts w:cs="Times New Roman"/>
          <w:iCs/>
          <w:sz w:val="18"/>
        </w:rPr>
        <w:t xml:space="preserve"> </w:t>
      </w:r>
      <w:r w:rsidRPr="009240B2">
        <w:rPr>
          <w:rFonts w:cs="Times New Roman"/>
          <w:iCs/>
        </w:rPr>
        <w:t>quantization for evaluation purposes.</w:t>
      </w:r>
    </w:p>
    <w:p w:rsidR="00246E14" w:rsidRDefault="00246E14" w:rsidP="00246E14"/>
    <w:p w:rsidR="00B402FB" w:rsidRDefault="009240B2" w:rsidP="00246E14">
      <w:r>
        <w:t xml:space="preserve">The FD compression unit size, </w:t>
      </w:r>
      <w:r>
        <w:rPr>
          <w:i/>
        </w:rPr>
        <w:t>X</w:t>
      </w:r>
      <w:r>
        <w:t xml:space="preserve">,  (referred to as precoding </w:t>
      </w:r>
      <w:r w:rsidR="004679F0">
        <w:t>subband</w:t>
      </w:r>
      <w:r>
        <w:t xml:space="preserve"> size below) determines the </w:t>
      </w:r>
      <w:r w:rsidR="003122BE">
        <w:t xml:space="preserve">frequency domain </w:t>
      </w:r>
      <w:r>
        <w:t xml:space="preserve">resolution of the </w:t>
      </w:r>
      <w:r w:rsidR="003122BE">
        <w:t xml:space="preserve">reconstructed beam combining coefficients which are therefore effectively an average of the RB-level beam combining coefficients over the precoding </w:t>
      </w:r>
      <w:r w:rsidR="004679F0">
        <w:t>subband</w:t>
      </w:r>
      <w:r w:rsidR="003122BE">
        <w:t>.</w:t>
      </w:r>
      <w:r w:rsidR="00864A48">
        <w:t xml:space="preserve">  </w:t>
      </w:r>
      <w:r w:rsidR="00477DF1">
        <w:t>The first question to be answered is</w:t>
      </w:r>
      <w:r w:rsidR="00864A48">
        <w:t xml:space="preserve"> whether the precoding </w:t>
      </w:r>
      <w:r w:rsidR="004679F0">
        <w:t>subband</w:t>
      </w:r>
      <w:r w:rsidR="00864A48">
        <w:t xml:space="preserve"> size should equal the CQI </w:t>
      </w:r>
      <w:r w:rsidR="004679F0">
        <w:t>subband</w:t>
      </w:r>
      <w:r w:rsidR="00864A48">
        <w:t xml:space="preserve"> size as in Release 15 (Alt 1) or </w:t>
      </w:r>
      <w:r w:rsidR="00386789">
        <w:t>a smaller number of RBs</w:t>
      </w:r>
      <w:r w:rsidR="00477DF1">
        <w:t xml:space="preserve"> (Alt 2.1-2.3).  CQI </w:t>
      </w:r>
      <w:r w:rsidR="004679F0">
        <w:t>subband</w:t>
      </w:r>
      <w:r w:rsidR="00477DF1">
        <w:t xml:space="preserve"> size grows with increasing bandwidth and therefore with Alt 1 precoding accuracy degrades. To avoid this degradation, the precoding </w:t>
      </w:r>
      <w:r w:rsidR="004679F0">
        <w:t>subband</w:t>
      </w:r>
      <w:r w:rsidR="00477DF1">
        <w:t xml:space="preserve"> size can be decoupled from the CQI </w:t>
      </w:r>
      <w:r w:rsidR="004679F0">
        <w:t>subband</w:t>
      </w:r>
      <w:r w:rsidR="00477DF1">
        <w:t xml:space="preserve"> size (Alt 2.1 and 2.3) or made to be a fraction of the CQI </w:t>
      </w:r>
      <w:r w:rsidR="004679F0">
        <w:t>subband</w:t>
      </w:r>
      <w:r w:rsidR="00477DF1">
        <w:t xml:space="preserve"> size (Alt 2.2).  The tradeoff between these alternatives involves the sensitivity of performance degradation</w:t>
      </w:r>
      <w:r w:rsidR="00A34687">
        <w:t xml:space="preserve"> with increasing precoding </w:t>
      </w:r>
      <w:r w:rsidR="004679F0">
        <w:t>subband</w:t>
      </w:r>
      <w:r w:rsidR="00A34687">
        <w:t xml:space="preserve"> size vs. the additional overhead </w:t>
      </w:r>
      <w:r w:rsidR="00556DB2">
        <w:t xml:space="preserve">and complexity associated with </w:t>
      </w:r>
      <w:r w:rsidR="00A34687">
        <w:t xml:space="preserve">increased values of </w:t>
      </w:r>
      <w:r w:rsidR="00A34687" w:rsidRPr="00CA390C">
        <w:rPr>
          <w:i/>
        </w:rPr>
        <w:t>N</w:t>
      </w:r>
      <w:r w:rsidR="00A34687" w:rsidRPr="00CA390C">
        <w:rPr>
          <w:i/>
          <w:vertAlign w:val="subscript"/>
        </w:rPr>
        <w:t>3</w:t>
      </w:r>
      <w:r w:rsidR="00A34687">
        <w:t xml:space="preserve">.  </w:t>
      </w:r>
    </w:p>
    <w:p w:rsidR="00190D55" w:rsidRDefault="00556DB2" w:rsidP="00246E14">
      <w:r>
        <w:lastRenderedPageBreak/>
        <w:t xml:space="preserve">In terms of performance Alt 1 implies very large precoding </w:t>
      </w:r>
      <w:r w:rsidR="004679F0">
        <w:t>subband</w:t>
      </w:r>
      <w:r>
        <w:t xml:space="preserve"> sizes at large bandwidths</w:t>
      </w:r>
      <w:r w:rsidR="006C1FBB">
        <w:t>.</w:t>
      </w:r>
      <w:r>
        <w:t xml:space="preserve"> </w:t>
      </w:r>
      <w:r w:rsidR="006C1FBB">
        <w:t>T</w:t>
      </w:r>
      <w:r>
        <w:t xml:space="preserve">aking </w:t>
      </w:r>
      <w:r w:rsidR="009972B2">
        <w:t>8</w:t>
      </w:r>
      <w:r>
        <w:t>0 MHz as an example, the wid</w:t>
      </w:r>
      <w:r w:rsidR="009972B2">
        <w:t xml:space="preserve">th of a precoding </w:t>
      </w:r>
      <w:r w:rsidR="004679F0">
        <w:t>subband</w:t>
      </w:r>
      <w:r w:rsidR="009972B2">
        <w:t xml:space="preserve"> at 30 </w:t>
      </w:r>
      <w:r>
        <w:t xml:space="preserve"> kHz spacing would be either </w:t>
      </w:r>
      <w:r w:rsidR="009972B2">
        <w:t xml:space="preserve">1.44 MHz or 2.88 MHz which would cause too much averaging of weight vectors. Alt 2.2 can reduce these precoding </w:t>
      </w:r>
      <w:r w:rsidR="004679F0">
        <w:t>subband</w:t>
      </w:r>
      <w:r w:rsidR="009972B2">
        <w:t xml:space="preserve"> bandwidth</w:t>
      </w:r>
      <w:r w:rsidR="006C1FBB">
        <w:t>s</w:t>
      </w:r>
      <w:r w:rsidR="009972B2">
        <w:t xml:space="preserve"> by a factor up to </w:t>
      </w:r>
      <w:r w:rsidR="009972B2">
        <w:rPr>
          <w:i/>
        </w:rPr>
        <w:t xml:space="preserve">R = </w:t>
      </w:r>
      <w:r w:rsidR="009972B2" w:rsidRPr="009972B2">
        <w:t>4</w:t>
      </w:r>
      <w:r w:rsidR="009972B2">
        <w:t xml:space="preserve">. Since </w:t>
      </w:r>
      <w:r w:rsidR="00B84CCC">
        <w:t xml:space="preserve">only </w:t>
      </w:r>
      <w:r w:rsidR="006C1FBB">
        <w:t xml:space="preserve">one </w:t>
      </w:r>
      <w:r w:rsidR="00B84CCC">
        <w:t xml:space="preserve">value of </w:t>
      </w:r>
      <w:r w:rsidR="00B84CCC">
        <w:rPr>
          <w:i/>
        </w:rPr>
        <w:t xml:space="preserve">R </w:t>
      </w:r>
      <w:r w:rsidR="00B84CCC">
        <w:t xml:space="preserve">is allowed, </w:t>
      </w:r>
      <w:r w:rsidR="00B84CCC">
        <w:rPr>
          <w:i/>
        </w:rPr>
        <w:t xml:space="preserve">R </w:t>
      </w:r>
      <w:r w:rsidR="00B84CCC">
        <w:t xml:space="preserve">cannot be greater than 4 since for fewer than 72 </w:t>
      </w:r>
      <w:r w:rsidR="004679F0">
        <w:t>subband</w:t>
      </w:r>
      <w:r w:rsidR="00B84CCC">
        <w:t xml:space="preserve">s the CQI </w:t>
      </w:r>
      <w:r w:rsidR="004679F0">
        <w:t>subband</w:t>
      </w:r>
      <w:r w:rsidR="00B84CCC">
        <w:t xml:space="preserve"> size itself is only 4 RBs. </w:t>
      </w:r>
    </w:p>
    <w:p w:rsidR="00CA3438" w:rsidRDefault="00B84CCC" w:rsidP="00246E14">
      <w:r>
        <w:t xml:space="preserve">In order to gauge the performance loss with precoding </w:t>
      </w:r>
      <w:r w:rsidR="004679F0">
        <w:t>subband</w:t>
      </w:r>
      <w:r w:rsidR="00D1670C">
        <w:t xml:space="preserve"> </w:t>
      </w:r>
      <w:r>
        <w:t>sizes</w:t>
      </w:r>
      <w:r w:rsidR="00D1670C">
        <w:t xml:space="preserve"> of </w:t>
      </w:r>
      <w:r w:rsidR="00D1670C">
        <w:rPr>
          <w:i/>
        </w:rPr>
        <w:t>X</w:t>
      </w:r>
      <w:r w:rsidR="00D1670C">
        <w:t xml:space="preserve"> = 1,2,4,8, 16 RBs (180,360,720 and 1.440 MHz)</w:t>
      </w:r>
      <w:r>
        <w:t xml:space="preserve">  simulations were performed with a 40 MHz channel and 15 kHz subcarrier spacing</w:t>
      </w:r>
      <w:r w:rsidR="00190D55">
        <w:t xml:space="preserve">.  The number of </w:t>
      </w:r>
      <w:r>
        <w:t xml:space="preserve"> </w:t>
      </w:r>
      <w:r w:rsidR="00190D55">
        <w:t xml:space="preserve">CQI </w:t>
      </w:r>
      <w:r w:rsidR="004679F0">
        <w:t>subband</w:t>
      </w:r>
      <w:r w:rsidR="00190D55">
        <w:t xml:space="preserve"> si</w:t>
      </w:r>
      <w:r w:rsidR="00D1670C">
        <w:t xml:space="preserve">ze was kept constant at 16 RBs and a common basis set of size </w:t>
      </w:r>
      <w:r w:rsidR="00D1670C">
        <w:rPr>
          <w:i/>
        </w:rPr>
        <w:t xml:space="preserve">M </w:t>
      </w:r>
      <w:r w:rsidR="00D1670C">
        <w:t>= 4 was used, i.e., Alt 1A.</w:t>
      </w:r>
      <w:r w:rsidR="00190D55">
        <w:t xml:space="preserve"> The cell edge and user packet throughput </w:t>
      </w:r>
      <w:r w:rsidR="00D1670C">
        <w:t xml:space="preserve">relative to Release 15 Type II </w:t>
      </w:r>
      <w:r w:rsidR="00190D55">
        <w:t xml:space="preserve">vs. precoding </w:t>
      </w:r>
      <w:r w:rsidR="004679F0">
        <w:t>subband</w:t>
      </w:r>
      <w:r w:rsidR="00190D55">
        <w:t xml:space="preserve"> size is shown in </w:t>
      </w:r>
      <w:r w:rsidR="00190D55">
        <w:fldChar w:fldCharType="begin"/>
      </w:r>
      <w:r w:rsidR="00190D55">
        <w:instrText xml:space="preserve"> REF _Ref534896898 \h </w:instrText>
      </w:r>
      <w:r w:rsidR="00190D55">
        <w:fldChar w:fldCharType="separate"/>
      </w:r>
      <w:r w:rsidR="00190D55">
        <w:fldChar w:fldCharType="end"/>
      </w:r>
      <w:r w:rsidR="00190D55">
        <w:fldChar w:fldCharType="begin"/>
      </w:r>
      <w:r w:rsidR="00190D55">
        <w:instrText xml:space="preserve"> REF _Ref534896903 \h </w:instrText>
      </w:r>
      <w:r w:rsidR="00190D55">
        <w:fldChar w:fldCharType="separate"/>
      </w:r>
      <w:r w:rsidR="00190D55">
        <w:t xml:space="preserve">Figure </w:t>
      </w:r>
      <w:r w:rsidR="00190D55">
        <w:rPr>
          <w:noProof/>
        </w:rPr>
        <w:t>4</w:t>
      </w:r>
      <w:r w:rsidR="00190D55">
        <w:fldChar w:fldCharType="end"/>
      </w:r>
      <w:r w:rsidR="00190D55">
        <w:t xml:space="preserve">.  Losses in </w:t>
      </w:r>
      <w:r w:rsidR="00D1670C">
        <w:t xml:space="preserve">relative </w:t>
      </w:r>
      <w:r w:rsidR="00190D55">
        <w:t xml:space="preserve">cell edge throughput of about 2.5% are seen between </w:t>
      </w:r>
      <w:r w:rsidR="00190D55" w:rsidRPr="00090497">
        <w:rPr>
          <w:i/>
        </w:rPr>
        <w:t xml:space="preserve">X </w:t>
      </w:r>
      <w:r w:rsidR="00190D55">
        <w:t xml:space="preserve">= 2 </w:t>
      </w:r>
      <w:r w:rsidR="00D1670C">
        <w:t xml:space="preserve">and </w:t>
      </w:r>
      <w:r w:rsidR="00D1670C" w:rsidRPr="00BD2011">
        <w:rPr>
          <w:i/>
        </w:rPr>
        <w:t>X</w:t>
      </w:r>
      <w:r w:rsidR="00D1670C">
        <w:t xml:space="preserve"> = 16 and about 0.5% loss in user packet throughput.  </w:t>
      </w:r>
      <w:r w:rsidR="00CA3438">
        <w:t xml:space="preserve">It is interesting to note that cell edge throughput drops off at </w:t>
      </w:r>
      <w:r w:rsidR="00CA3438" w:rsidRPr="00090497">
        <w:rPr>
          <w:i/>
        </w:rPr>
        <w:t>X</w:t>
      </w:r>
      <w:r w:rsidR="00CA3438">
        <w:t xml:space="preserve"> = 1 and 2. It was observed that as </w:t>
      </w:r>
      <w:r w:rsidR="00CA390C" w:rsidRPr="00CA390C">
        <w:rPr>
          <w:i/>
        </w:rPr>
        <w:t>N</w:t>
      </w:r>
      <w:r w:rsidR="00CA390C" w:rsidRPr="00CA390C">
        <w:rPr>
          <w:i/>
          <w:vertAlign w:val="subscript"/>
        </w:rPr>
        <w:t>3</w:t>
      </w:r>
      <w:r w:rsidR="00CA3438">
        <w:t xml:space="preserve"> increased, the energy became concentrated in a greater number of basis vectors, for example </w:t>
      </w:r>
      <w:r w:rsidR="00CA3438">
        <w:rPr>
          <w:i/>
        </w:rPr>
        <w:t>M</w:t>
      </w:r>
      <w:r w:rsidR="00CA3438">
        <w:t xml:space="preserve"> = 8 instead of 4</w:t>
      </w:r>
      <w:r w:rsidR="00CA3438" w:rsidRPr="00CA3438">
        <w:t xml:space="preserve"> </w:t>
      </w:r>
      <w:r w:rsidR="00CA3438">
        <w:t xml:space="preserve">The increase in overhead as a function of </w:t>
      </w:r>
      <w:r w:rsidR="00CA3438">
        <w:rPr>
          <w:i/>
        </w:rPr>
        <w:t xml:space="preserve">X </w:t>
      </w:r>
      <w:r w:rsidR="00CA3438">
        <w:t xml:space="preserve">is shown in </w:t>
      </w:r>
      <w:r w:rsidR="00CA3438">
        <w:fldChar w:fldCharType="begin"/>
      </w:r>
      <w:r w:rsidR="00CA3438">
        <w:instrText xml:space="preserve"> REF _Ref534898464 \h </w:instrText>
      </w:r>
      <w:r w:rsidR="00CA3438">
        <w:fldChar w:fldCharType="separate"/>
      </w:r>
      <w:r w:rsidR="00CA3438">
        <w:t xml:space="preserve">Figure </w:t>
      </w:r>
      <w:r w:rsidR="00CA3438">
        <w:rPr>
          <w:noProof/>
        </w:rPr>
        <w:t>5</w:t>
      </w:r>
      <w:r w:rsidR="00CA3438">
        <w:fldChar w:fldCharType="end"/>
      </w:r>
      <w:r w:rsidR="00CA3438">
        <w:t xml:space="preserve">.  The increase in overhead from </w:t>
      </w:r>
      <w:r w:rsidR="00CA3438" w:rsidRPr="00CA390C">
        <w:rPr>
          <w:i/>
        </w:rPr>
        <w:t>X</w:t>
      </w:r>
      <w:r w:rsidR="00CA3438">
        <w:t xml:space="preserve"> = 16 to </w:t>
      </w:r>
      <w:r w:rsidR="00CA3438" w:rsidRPr="00CA390C">
        <w:rPr>
          <w:i/>
        </w:rPr>
        <w:t>X</w:t>
      </w:r>
      <w:r w:rsidR="00CA3438">
        <w:t xml:space="preserve"> = 2 is minor, 2</w:t>
      </w:r>
      <w:r w:rsidR="00CA3438" w:rsidRPr="00D1670C">
        <w:t>18</w:t>
      </w:r>
      <w:r w:rsidR="00CA3438">
        <w:t xml:space="preserve"> to 231 bits.   </w:t>
      </w:r>
    </w:p>
    <w:p w:rsidR="00D1670C" w:rsidRPr="0023163F" w:rsidRDefault="00D1670C" w:rsidP="00246E14">
      <w:r>
        <w:t xml:space="preserve">The losses seen with X = 16 (precoding </w:t>
      </w:r>
      <w:r w:rsidR="004679F0">
        <w:t>subband</w:t>
      </w:r>
      <w:r>
        <w:t xml:space="preserve"> bandwidth of 1.440 MHz) can also be expected with Alt 2.2 and </w:t>
      </w:r>
      <w:r>
        <w:rPr>
          <w:i/>
        </w:rPr>
        <w:t xml:space="preserve">R = </w:t>
      </w:r>
      <w:r>
        <w:t>4</w:t>
      </w:r>
      <w:r w:rsidR="00CA3438">
        <w:t xml:space="preserve"> which </w:t>
      </w:r>
      <w:r w:rsidR="006C1FBB">
        <w:t xml:space="preserve">has </w:t>
      </w:r>
      <w:r w:rsidR="00CA3438">
        <w:t xml:space="preserve">a </w:t>
      </w:r>
      <w:r w:rsidR="004679F0">
        <w:t>subband</w:t>
      </w:r>
      <w:r w:rsidR="00CA3438">
        <w:t xml:space="preserve"> size of 1.44 MHz</w:t>
      </w:r>
      <w:r w:rsidR="006C1FBB">
        <w:t xml:space="preserve"> in a</w:t>
      </w:r>
      <w:r>
        <w:t xml:space="preserve"> 40 MHz bandwidth, subcarrier spacing of 30 kHz, and a CQI </w:t>
      </w:r>
      <w:r w:rsidR="004679F0">
        <w:t>subband</w:t>
      </w:r>
      <w:r>
        <w:t xml:space="preserve"> size of 16 RBs.</w:t>
      </w:r>
      <w:r w:rsidR="00CA3438">
        <w:t xml:space="preserve">  </w:t>
      </w:r>
      <w:r w:rsidR="0023163F">
        <w:t>Alt 1</w:t>
      </w:r>
      <w:r w:rsidR="00CA3438">
        <w:t xml:space="preserve"> does have the advantage of a lower maximum value of </w:t>
      </w:r>
      <w:r w:rsidR="00CA390C" w:rsidRPr="00CA390C">
        <w:rPr>
          <w:i/>
        </w:rPr>
        <w:t>N</w:t>
      </w:r>
      <w:r w:rsidR="00CA390C" w:rsidRPr="00CA390C">
        <w:rPr>
          <w:i/>
          <w:vertAlign w:val="subscript"/>
        </w:rPr>
        <w:t>3</w:t>
      </w:r>
      <w:r w:rsidR="00CA390C">
        <w:rPr>
          <w:i/>
          <w:vertAlign w:val="subscript"/>
        </w:rPr>
        <w:t xml:space="preserve">  </w:t>
      </w:r>
      <w:r w:rsidR="00CA3438">
        <w:t>than Alt 2.3</w:t>
      </w:r>
      <w:r w:rsidR="0023163F">
        <w:t xml:space="preserve">, 18 vs 69. However Alt 2.2 with a </w:t>
      </w:r>
      <w:r w:rsidR="004679F0">
        <w:t>subband</w:t>
      </w:r>
      <w:r w:rsidR="0023163F">
        <w:t xml:space="preserve"> size of 16 and </w:t>
      </w:r>
      <w:r w:rsidR="0023163F">
        <w:rPr>
          <w:i/>
        </w:rPr>
        <w:t>R</w:t>
      </w:r>
      <w:r w:rsidR="0023163F">
        <w:t xml:space="preserve"> = 4 also results in an </w:t>
      </w:r>
      <w:r w:rsidR="00CA390C" w:rsidRPr="00CA390C">
        <w:rPr>
          <w:i/>
        </w:rPr>
        <w:t>N</w:t>
      </w:r>
      <w:r w:rsidR="00CA390C" w:rsidRPr="00CA390C">
        <w:rPr>
          <w:i/>
          <w:vertAlign w:val="subscript"/>
        </w:rPr>
        <w:t>3</w:t>
      </w:r>
      <w:r w:rsidR="00CA390C">
        <w:rPr>
          <w:i/>
          <w:vertAlign w:val="subscript"/>
        </w:rPr>
        <w:t xml:space="preserve"> </w:t>
      </w:r>
      <w:r w:rsidR="0023163F">
        <w:t>value of  69</w:t>
      </w:r>
      <w:r w:rsidR="006C1FBB">
        <w:t xml:space="preserve"> and therefore similar complexity of Alt 2.3</w:t>
      </w:r>
    </w:p>
    <w:p w:rsidR="00CA3438" w:rsidRDefault="00D1670C" w:rsidP="00246E14">
      <w:r>
        <w:t xml:space="preserve"> </w:t>
      </w:r>
    </w:p>
    <w:p w:rsidR="00CA3438" w:rsidRDefault="0023163F" w:rsidP="00246E14">
      <w:r>
        <w:t>Considering the high performance loss at large bandwidths and the limited increase in overhead, our preference is Alt 2.3.</w:t>
      </w:r>
    </w:p>
    <w:p w:rsidR="0023163F" w:rsidRDefault="0023163F" w:rsidP="00246E14"/>
    <w:p w:rsidR="0023163F" w:rsidRPr="00BD2011" w:rsidRDefault="0023163F" w:rsidP="0023163F">
      <w:pPr>
        <w:rPr>
          <w:b/>
          <w:i/>
        </w:rPr>
      </w:pPr>
      <w:r w:rsidRPr="00BD2011">
        <w:rPr>
          <w:b/>
          <w:i/>
        </w:rPr>
        <w:t xml:space="preserve">Proposal </w:t>
      </w:r>
      <w:r w:rsidR="006C1FBB">
        <w:rPr>
          <w:b/>
          <w:i/>
        </w:rPr>
        <w:t>4</w:t>
      </w:r>
      <w:r w:rsidRPr="00BD2011">
        <w:rPr>
          <w:b/>
          <w:i/>
        </w:rPr>
        <w:t xml:space="preserve">: FD compression size should be higher-layer configured to a value of  X  = {2, 4} </w:t>
      </w:r>
      <w:r w:rsidR="004679F0">
        <w:rPr>
          <w:b/>
          <w:i/>
        </w:rPr>
        <w:t>subband</w:t>
      </w:r>
      <w:r w:rsidRPr="00BD2011">
        <w:rPr>
          <w:b/>
          <w:i/>
        </w:rPr>
        <w:t>s (Alt 2.3)</w:t>
      </w:r>
    </w:p>
    <w:p w:rsidR="00D1670C" w:rsidRDefault="00D1670C" w:rsidP="00246E14"/>
    <w:p w:rsidR="00246E14" w:rsidRDefault="00246E14" w:rsidP="00246E14"/>
    <w:p w:rsidR="00246E14" w:rsidRDefault="00246E14" w:rsidP="00246E14">
      <w:pPr>
        <w:keepNext/>
        <w:jc w:val="center"/>
      </w:pPr>
      <w:r>
        <w:rPr>
          <w:noProof/>
        </w:rPr>
        <w:drawing>
          <wp:inline distT="0" distB="0" distL="0" distR="0" wp14:anchorId="185FDA5D">
            <wp:extent cx="4151376" cy="2203704"/>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376" cy="2203704"/>
                    </a:xfrm>
                    <a:prstGeom prst="rect">
                      <a:avLst/>
                    </a:prstGeom>
                    <a:noFill/>
                  </pic:spPr>
                </pic:pic>
              </a:graphicData>
            </a:graphic>
          </wp:inline>
        </w:drawing>
      </w:r>
    </w:p>
    <w:p w:rsidR="00246E14" w:rsidRPr="00923751" w:rsidRDefault="00246E14" w:rsidP="00246E14">
      <w:pPr>
        <w:pStyle w:val="Caption"/>
      </w:pPr>
      <w:bookmarkStart w:id="11" w:name="_Ref534896898"/>
      <w:bookmarkStart w:id="12" w:name="_Ref534896903"/>
      <w:r>
        <w:t xml:space="preserve">Figure </w:t>
      </w:r>
      <w:r>
        <w:fldChar w:fldCharType="begin"/>
      </w:r>
      <w:r>
        <w:instrText xml:space="preserve"> SEQ Figure \* ARABIC </w:instrText>
      </w:r>
      <w:r>
        <w:fldChar w:fldCharType="separate"/>
      </w:r>
      <w:r w:rsidR="004D3D75">
        <w:rPr>
          <w:noProof/>
        </w:rPr>
        <w:t>4</w:t>
      </w:r>
      <w:r>
        <w:fldChar w:fldCharType="end"/>
      </w:r>
      <w:bookmarkEnd w:id="12"/>
      <w:r>
        <w:t>:</w:t>
      </w:r>
      <w:bookmarkEnd w:id="11"/>
      <w:r w:rsidR="00923751">
        <w:t xml:space="preserve"> Cell edge and average user packet throughput for precoding </w:t>
      </w:r>
      <w:r w:rsidR="004679F0">
        <w:t>subband</w:t>
      </w:r>
      <w:r w:rsidR="00923751">
        <w:t xml:space="preserve"> sizes of </w:t>
      </w:r>
      <w:r w:rsidR="00923751">
        <w:rPr>
          <w:i/>
        </w:rPr>
        <w:t xml:space="preserve">X </w:t>
      </w:r>
      <w:r w:rsidR="00923751">
        <w:t>= 16,4,2, and 1 RBs.</w:t>
      </w:r>
    </w:p>
    <w:p w:rsidR="00246E14" w:rsidRDefault="00246E14" w:rsidP="00246E14"/>
    <w:p w:rsidR="00246E14" w:rsidRDefault="00246E14" w:rsidP="003122BE">
      <w:pPr>
        <w:keepNext/>
        <w:jc w:val="center"/>
      </w:pPr>
      <w:r>
        <w:rPr>
          <w:noProof/>
        </w:rPr>
        <w:lastRenderedPageBreak/>
        <w:drawing>
          <wp:inline distT="0" distB="0" distL="0" distR="0" wp14:anchorId="4CBC0A0E">
            <wp:extent cx="4244620" cy="21945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6728" cy="2205991"/>
                    </a:xfrm>
                    <a:prstGeom prst="rect">
                      <a:avLst/>
                    </a:prstGeom>
                    <a:noFill/>
                  </pic:spPr>
                </pic:pic>
              </a:graphicData>
            </a:graphic>
          </wp:inline>
        </w:drawing>
      </w:r>
    </w:p>
    <w:p w:rsidR="00923751" w:rsidRPr="00923751" w:rsidRDefault="00246E14" w:rsidP="00923751">
      <w:pPr>
        <w:pStyle w:val="Caption"/>
      </w:pPr>
      <w:bookmarkStart w:id="13" w:name="_Ref534898464"/>
      <w:r>
        <w:t xml:space="preserve">Figure </w:t>
      </w:r>
      <w:r>
        <w:fldChar w:fldCharType="begin"/>
      </w:r>
      <w:r>
        <w:instrText xml:space="preserve"> SEQ Figure \* ARABIC </w:instrText>
      </w:r>
      <w:r>
        <w:fldChar w:fldCharType="separate"/>
      </w:r>
      <w:r w:rsidR="004D3D75">
        <w:rPr>
          <w:noProof/>
        </w:rPr>
        <w:t>5</w:t>
      </w:r>
      <w:r>
        <w:fldChar w:fldCharType="end"/>
      </w:r>
      <w:bookmarkEnd w:id="13"/>
      <w:r>
        <w:t>:</w:t>
      </w:r>
      <w:r w:rsidR="00923751">
        <w:t xml:space="preserve"> Figure </w:t>
      </w:r>
      <w:r w:rsidR="00923751">
        <w:fldChar w:fldCharType="begin"/>
      </w:r>
      <w:r w:rsidR="00923751">
        <w:instrText xml:space="preserve"> SEQ Figure \* ARABIC </w:instrText>
      </w:r>
      <w:r w:rsidR="00923751">
        <w:fldChar w:fldCharType="separate"/>
      </w:r>
      <w:r w:rsidR="00923751">
        <w:rPr>
          <w:noProof/>
        </w:rPr>
        <w:t>4</w:t>
      </w:r>
      <w:r w:rsidR="00923751">
        <w:fldChar w:fldCharType="end"/>
      </w:r>
      <w:r w:rsidR="00923751">
        <w:t xml:space="preserve">: Overhead for precoding </w:t>
      </w:r>
      <w:r w:rsidR="004679F0">
        <w:t>subband</w:t>
      </w:r>
      <w:r w:rsidR="00923751">
        <w:t xml:space="preserve"> sizes of </w:t>
      </w:r>
      <w:r w:rsidR="00923751">
        <w:rPr>
          <w:i/>
        </w:rPr>
        <w:t xml:space="preserve">X </w:t>
      </w:r>
      <w:r w:rsidR="00923751">
        <w:t>= 16,4,2, and 1 RBs.</w:t>
      </w:r>
    </w:p>
    <w:p w:rsidR="00246E14" w:rsidRPr="00246E14" w:rsidRDefault="00246E14" w:rsidP="00246E14">
      <w:pPr>
        <w:pStyle w:val="Caption"/>
      </w:pPr>
    </w:p>
    <w:p w:rsidR="00DB2C78" w:rsidRDefault="00DB2C78" w:rsidP="00DB2C78"/>
    <w:p w:rsidR="002D3AC4" w:rsidRDefault="00246E14" w:rsidP="00DB2C78">
      <w:pPr>
        <w:pStyle w:val="Heading1"/>
      </w:pPr>
      <w:r>
        <w:t>Coefficient q</w:t>
      </w:r>
      <w:r w:rsidR="00DB2C78">
        <w:t>uantization</w:t>
      </w:r>
    </w:p>
    <w:p w:rsidR="00090497" w:rsidRPr="00090497" w:rsidRDefault="00090497" w:rsidP="00090497">
      <w:pPr>
        <w:jc w:val="left"/>
      </w:pPr>
      <w:r>
        <w:t xml:space="preserve">The following set of alternatives were agreed for quantization of the elements of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0089564B">
        <w:rPr>
          <w:b/>
        </w:rPr>
        <w:t>:</w:t>
      </w:r>
    </w:p>
    <w:p w:rsidR="00C6604E" w:rsidRPr="00E06FB3" w:rsidRDefault="00C6604E" w:rsidP="00C6604E">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6604E" w:rsidRPr="00F449D8" w:rsidRDefault="00C6604E" w:rsidP="00C6604E">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27" type="#_x0000_t75" style="width:16.15pt;height:19pt" o:ole="">
            <v:imagedata r:id="rId15" o:title=""/>
          </v:shape>
          <o:OLEObject Type="Embed" ProgID="Equation.DSMT4" ShapeID="_x0000_i1027" DrawAspect="Content" ObjectID="_1608753178" r:id="rId16"/>
        </w:object>
      </w:r>
      <w:r w:rsidRPr="00F449D8">
        <w:rPr>
          <w:rFonts w:cs="Times New Roman"/>
          <w:iCs/>
        </w:rPr>
        <w:t xml:space="preserve"> </w:t>
      </w:r>
      <w:r w:rsidRPr="00F449D8">
        <w:rPr>
          <w:rFonts w:cs="Times New Roman"/>
          <w:lang w:val="en-US"/>
        </w:rPr>
        <w:t xml:space="preserve">are to be studied for down selection in RAN1#96: </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 xml:space="preserve">Alt1A. Rel.15 3-bit amplitude; Rel.15 QPSK and 8PSK co-phasing </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 xml:space="preserve">Alt4. For each beam, </w:t>
      </w:r>
    </w:p>
    <w:p w:rsidR="00C6604E" w:rsidRPr="00F449D8" w:rsidRDefault="00C6604E" w:rsidP="00C6604E">
      <w:pPr>
        <w:pStyle w:val="Style1"/>
        <w:numPr>
          <w:ilvl w:val="1"/>
          <w:numId w:val="42"/>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6604E" w:rsidRPr="00F449D8" w:rsidRDefault="00C6604E" w:rsidP="00C6604E">
      <w:pPr>
        <w:pStyle w:val="Style1"/>
        <w:numPr>
          <w:ilvl w:val="1"/>
          <w:numId w:val="42"/>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6604E" w:rsidRPr="00F449D8" w:rsidRDefault="00C6604E" w:rsidP="00C6604E">
      <w:pPr>
        <w:pStyle w:val="Style1"/>
        <w:numPr>
          <w:ilvl w:val="1"/>
          <w:numId w:val="42"/>
        </w:numPr>
        <w:spacing w:after="0" w:line="240" w:lineRule="auto"/>
        <w:rPr>
          <w:rFonts w:cs="Times New Roman"/>
          <w:lang w:val="en-US"/>
        </w:rPr>
      </w:pPr>
      <w:r w:rsidRPr="00F449D8">
        <w:rPr>
          <w:rFonts w:cs="Times New Roman"/>
          <w:lang w:val="en-US"/>
        </w:rPr>
        <w:t>…</w:t>
      </w:r>
    </w:p>
    <w:p w:rsidR="00C6604E" w:rsidRPr="00F449D8" w:rsidRDefault="00C6604E" w:rsidP="00C6604E">
      <w:pPr>
        <w:pStyle w:val="Style1"/>
        <w:numPr>
          <w:ilvl w:val="1"/>
          <w:numId w:val="42"/>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Q</w:t>
      </w:r>
      <w:r w:rsidRPr="00F449D8">
        <w:rPr>
          <w:rFonts w:cs="Times New Roman"/>
          <w:vertAlign w:val="superscript"/>
          <w:lang w:val="en-US"/>
        </w:rPr>
        <w:t>th</w:t>
      </w:r>
      <w:r w:rsidRPr="00F449D8">
        <w:rPr>
          <w:rFonts w:cs="Times New Roman"/>
          <w:lang w:val="en-US"/>
        </w:rPr>
        <w:t xml:space="preserve"> strongest coefficients</w:t>
      </w:r>
    </w:p>
    <w:p w:rsidR="00C6604E" w:rsidRPr="00F449D8" w:rsidRDefault="00C6604E" w:rsidP="00C6604E">
      <w:pPr>
        <w:pStyle w:val="Style1"/>
        <w:numPr>
          <w:ilvl w:val="1"/>
          <w:numId w:val="42"/>
        </w:numPr>
        <w:spacing w:after="0" w:line="240" w:lineRule="auto"/>
        <w:rPr>
          <w:rFonts w:cs="Times New Roman"/>
          <w:lang w:val="en-US"/>
        </w:rPr>
      </w:pPr>
      <w:r w:rsidRPr="00F449D8">
        <w:rPr>
          <w:rFonts w:cs="Times New Roman"/>
          <w:lang w:val="en-US"/>
        </w:rPr>
        <w:t>Alternatively, amplitude/phase can be replaced with real/imaginary</w:t>
      </w:r>
    </w:p>
    <w:p w:rsidR="00C6604E" w:rsidRPr="00F449D8" w:rsidRDefault="00C6604E" w:rsidP="00C6604E">
      <w:pPr>
        <w:pStyle w:val="Style1"/>
        <w:numPr>
          <w:ilvl w:val="0"/>
          <w:numId w:val="42"/>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A21E33" w:rsidRDefault="00A21E33" w:rsidP="00A21E33">
      <w:pPr>
        <w:pStyle w:val="ListParagraph"/>
        <w:numPr>
          <w:ilvl w:val="0"/>
          <w:numId w:val="42"/>
        </w:numPr>
        <w:spacing w:line="276" w:lineRule="auto"/>
        <w:ind w:leftChars="0"/>
      </w:pPr>
      <w:r>
        <w:t>Alt 5A</w:t>
      </w:r>
      <w:r w:rsidR="004D3D75" w:rsidRPr="00A21E33">
        <w:t xml:space="preserve">  For each beam,</w:t>
      </w:r>
    </w:p>
    <w:p w:rsidR="004D3D75" w:rsidRPr="00A21E33" w:rsidRDefault="004D3D75" w:rsidP="00A21E33">
      <w:pPr>
        <w:pStyle w:val="Style1"/>
        <w:numPr>
          <w:ilvl w:val="1"/>
          <w:numId w:val="42"/>
        </w:numPr>
        <w:spacing w:after="0" w:line="240" w:lineRule="auto"/>
        <w:rPr>
          <w:rFonts w:cs="Times New Roman"/>
          <w:lang w:val="en-US"/>
        </w:rPr>
      </w:pPr>
      <w:r w:rsidRPr="00A21E33">
        <w:rPr>
          <w:rFonts w:cs="Times New Roman"/>
          <w:lang w:val="en-US"/>
        </w:rPr>
        <w:t>4-bit amplitude and 4-bit phase for the strongest coefficient,</w:t>
      </w:r>
    </w:p>
    <w:p w:rsidR="00A21E33" w:rsidRDefault="004D3D75" w:rsidP="00A21E33">
      <w:pPr>
        <w:pStyle w:val="Style1"/>
        <w:numPr>
          <w:ilvl w:val="1"/>
          <w:numId w:val="42"/>
        </w:numPr>
        <w:spacing w:after="0" w:line="240" w:lineRule="auto"/>
        <w:rPr>
          <w:rFonts w:cs="Times New Roman"/>
          <w:lang w:val="en-US"/>
        </w:rPr>
      </w:pPr>
      <w:r w:rsidRPr="00A21E33">
        <w:rPr>
          <w:rFonts w:cs="Times New Roman"/>
          <w:lang w:val="en-US"/>
        </w:rPr>
        <w:t>3-bit amplitude and 3-bit phase for the remaining coefficients</w:t>
      </w:r>
    </w:p>
    <w:p w:rsidR="00A21E33" w:rsidRPr="00A21E33" w:rsidRDefault="00A21E33" w:rsidP="00A21E33">
      <w:pPr>
        <w:pStyle w:val="Style1"/>
        <w:numPr>
          <w:ilvl w:val="0"/>
          <w:numId w:val="42"/>
        </w:numPr>
        <w:spacing w:after="0" w:line="240" w:lineRule="auto"/>
        <w:rPr>
          <w:rFonts w:cs="Times New Roman"/>
          <w:lang w:val="en-US"/>
        </w:rPr>
      </w:pPr>
      <w:r w:rsidRPr="00A21E33">
        <w:t>Alt5B. For each beam,</w:t>
      </w:r>
    </w:p>
    <w:p w:rsidR="00A21E33" w:rsidRPr="00A21E33" w:rsidRDefault="00A21E33" w:rsidP="00A21E33">
      <w:pPr>
        <w:pStyle w:val="Style1"/>
        <w:numPr>
          <w:ilvl w:val="1"/>
          <w:numId w:val="42"/>
        </w:numPr>
        <w:spacing w:after="0" w:line="240" w:lineRule="auto"/>
        <w:rPr>
          <w:rFonts w:cs="Times New Roman"/>
          <w:lang w:val="en-US"/>
        </w:rPr>
      </w:pPr>
      <w:r w:rsidRPr="00A21E33">
        <w:t>3-bit amplitude and 3-bit phase for P0 strongest coefficients,</w:t>
      </w:r>
    </w:p>
    <w:p w:rsidR="00A21E33" w:rsidRPr="00A21E33" w:rsidRDefault="00A21E33" w:rsidP="00A21E33">
      <w:pPr>
        <w:pStyle w:val="Style1"/>
        <w:numPr>
          <w:ilvl w:val="1"/>
          <w:numId w:val="42"/>
        </w:numPr>
        <w:spacing w:after="0" w:line="240" w:lineRule="auto"/>
        <w:rPr>
          <w:rFonts w:cs="Times New Roman"/>
          <w:lang w:val="en-US"/>
        </w:rPr>
      </w:pPr>
      <w:r w:rsidRPr="00A21E33">
        <w:t>2-bit amplitude and 2-bit phase for P1 2</w:t>
      </w:r>
      <w:r w:rsidRPr="00A21E33">
        <w:rPr>
          <w:vertAlign w:val="superscript"/>
        </w:rPr>
        <w:t>nd</w:t>
      </w:r>
      <w:r w:rsidRPr="00A21E33">
        <w:t xml:space="preserve"> strongest coefficients</w:t>
      </w:r>
    </w:p>
    <w:p w:rsidR="0056100C" w:rsidRDefault="0056100C" w:rsidP="003F2CF1">
      <w:pPr>
        <w:spacing w:before="0" w:after="200" w:line="276" w:lineRule="auto"/>
      </w:pPr>
    </w:p>
    <w:p w:rsidR="0056100C" w:rsidRPr="0056100C" w:rsidRDefault="0056100C" w:rsidP="0056100C">
      <w:pPr>
        <w:spacing w:before="0" w:after="200" w:line="276" w:lineRule="auto"/>
      </w:pPr>
      <w:r>
        <w:t xml:space="preserve">Alternatives 1A and 5A were compared via simulation. Before presenting the results, </w:t>
      </w:r>
      <w:r w:rsidR="00EA3A97">
        <w:t xml:space="preserve">the motivation for Alt 5A is discussed along with </w:t>
      </w:r>
      <w:r>
        <w:t>techniques for indicating the index of a beam’s strongest coefficient</w:t>
      </w:r>
      <w:r w:rsidR="00EA3A97">
        <w:t>.</w:t>
      </w:r>
    </w:p>
    <w:p w:rsidR="0056100C" w:rsidRDefault="0056100C" w:rsidP="008729C5">
      <w:pPr>
        <w:keepNext/>
        <w:spacing w:before="0" w:after="200" w:line="276" w:lineRule="auto"/>
        <w:rPr>
          <w:i/>
        </w:rPr>
      </w:pPr>
      <w:r>
        <w:rPr>
          <w:i/>
        </w:rPr>
        <w:lastRenderedPageBreak/>
        <w:t>Alt 5A</w:t>
      </w:r>
    </w:p>
    <w:p w:rsidR="00EA3A97" w:rsidRPr="004A02ED" w:rsidRDefault="003F2CF1" w:rsidP="003F2CF1">
      <w:pPr>
        <w:spacing w:before="0" w:after="200" w:line="276" w:lineRule="auto"/>
      </w:pPr>
      <w:r>
        <w:t xml:space="preserve">In this scheme four bits of amplitude and four bits of phase are used to represent the beam’s strongest coefficient while 3 bits of amplitude and 3 bits of phase are used to represent the remaining coefficients of the beam. </w:t>
      </w:r>
      <w:r w:rsidR="00EA3A97">
        <w:t xml:space="preserve"> The mo</w:t>
      </w:r>
      <w:r w:rsidR="004A02ED">
        <w:t xml:space="preserve">tivation for allocating an additional bit of resolution for the strongest coefficient is the observation that the squared quantization error that results from a phase quantization error </w:t>
      </w:r>
      <m:oMath>
        <m:r>
          <m:rPr>
            <m:sty m:val="p"/>
          </m:rPr>
          <w:rPr>
            <w:rFonts w:ascii="Cambria Math" w:hAnsi="Cambria Math"/>
          </w:rPr>
          <m:t>Δ</m:t>
        </m:r>
        <m:r>
          <w:rPr>
            <w:rFonts w:ascii="Cambria Math" w:hAnsi="Cambria Math"/>
          </w:rPr>
          <m:t>ϕ</m:t>
        </m:r>
      </m:oMath>
      <w:r w:rsidR="004A02ED">
        <w:t xml:space="preserve"> for a coefficient of amplitude </w:t>
      </w:r>
      <w:r w:rsidR="004A02ED">
        <w:rPr>
          <w:i/>
        </w:rPr>
        <w:t xml:space="preserve">A </w:t>
      </w:r>
      <w:r w:rsidR="004A02ED">
        <w:t xml:space="preserve"> is </w:t>
      </w:r>
      <m:oMath>
        <m:r>
          <w:rPr>
            <w:rFonts w:ascii="Cambria Math" w:hAnsi="Cambria Math"/>
          </w:rPr>
          <m:t>4</m:t>
        </m:r>
        <m:sSup>
          <m:sSupPr>
            <m:ctrlPr>
              <w:rPr>
                <w:rFonts w:ascii="Cambria Math" w:hAnsi="Cambria Math"/>
                <w:i/>
              </w:rPr>
            </m:ctrlPr>
          </m:sSupPr>
          <m:e>
            <m:r>
              <w:rPr>
                <w:rFonts w:ascii="Cambria Math" w:hAnsi="Cambria Math"/>
              </w:rPr>
              <m:t>A</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f>
                  <m:fPr>
                    <m:ctrlPr>
                      <w:rPr>
                        <w:rFonts w:ascii="Cambria Math" w:hAnsi="Cambria Math"/>
                        <w:i/>
                      </w:rPr>
                    </m:ctrlPr>
                  </m:fPr>
                  <m:num>
                    <m:r>
                      <m:rPr>
                        <m:sty m:val="p"/>
                      </m:rPr>
                      <w:rPr>
                        <w:rFonts w:ascii="Cambria Math" w:hAnsi="Cambria Math"/>
                      </w:rPr>
                      <m:t>Δ</m:t>
                    </m:r>
                    <m:r>
                      <w:rPr>
                        <w:rFonts w:ascii="Cambria Math" w:hAnsi="Cambria Math"/>
                      </w:rPr>
                      <m:t>ϕ</m:t>
                    </m:r>
                  </m:num>
                  <m:den>
                    <m:r>
                      <w:rPr>
                        <w:rFonts w:ascii="Cambria Math" w:hAnsi="Cambria Math"/>
                      </w:rPr>
                      <m:t>2</m:t>
                    </m:r>
                  </m:den>
                </m:f>
              </m:e>
            </m:d>
          </m:e>
        </m:func>
      </m:oMath>
      <w:r w:rsidR="004A02ED">
        <w:t xml:space="preserve"> and therefore </w:t>
      </w:r>
      <w:r w:rsidR="006E49F3">
        <w:t xml:space="preserve">is </w:t>
      </w:r>
      <w:r w:rsidR="004A02ED">
        <w:t>proportional to the coefficient’s mag</w:t>
      </w:r>
      <w:r w:rsidR="001F332F">
        <w:t>nitude square.  Also, in the majority of</w:t>
      </w:r>
      <w:r w:rsidR="004A02ED">
        <w:t xml:space="preserve"> channels it was observed that one </w:t>
      </w:r>
      <w:r w:rsidR="001F332F">
        <w:t>coefficient was typically dominant</w:t>
      </w:r>
      <w:r w:rsidR="006E49F3">
        <w:t xml:space="preserve"> and therefore overhead can be saved by reducing the number of bits of phase quantization for weak coefficients.</w:t>
      </w:r>
      <w:r w:rsidR="001F332F">
        <w:t xml:space="preserve">  </w:t>
      </w:r>
    </w:p>
    <w:p w:rsidR="003F2CF1" w:rsidRDefault="003F2CF1" w:rsidP="003F2CF1">
      <w:pPr>
        <w:spacing w:before="0" w:after="200" w:line="276" w:lineRule="auto"/>
      </w:pPr>
      <w:r>
        <w:t>In order to decode the uplink control message containing these representations</w:t>
      </w:r>
      <w:r w:rsidR="006E49F3">
        <w:t>,</w:t>
      </w:r>
      <w:r>
        <w:t xml:space="preserve"> it is of course necessary to know which of the beam’s coefficients is strongest.  One way is to include an indication with length </w:t>
      </w:r>
      <m:oMath>
        <m:r>
          <m:rPr>
            <m:sty m:val="p"/>
          </m:rPr>
          <w:rPr>
            <w:rFonts w:ascii="Cambria Math" w:hAnsi="Cambria Math"/>
          </w:rPr>
          <m:t>ceil</m:t>
        </m:r>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e>
        </m:d>
      </m:oMath>
      <w:r>
        <w:t xml:space="preserve"> for each beam. However the multi-stage quantization method described above in </w:t>
      </w:r>
      <w:r w:rsidR="0085000D">
        <w:t xml:space="preserve">Sec. </w:t>
      </w:r>
      <w:r w:rsidR="0085000D">
        <w:fldChar w:fldCharType="begin"/>
      </w:r>
      <w:r w:rsidR="0085000D">
        <w:instrText xml:space="preserve"> REF _Ref534978652 \r \h </w:instrText>
      </w:r>
      <w:r w:rsidR="0085000D">
        <w:fldChar w:fldCharType="separate"/>
      </w:r>
      <w:r w:rsidR="0085000D">
        <w:t>2.2</w:t>
      </w:r>
      <w:r w:rsidR="0085000D">
        <w:fldChar w:fldCharType="end"/>
      </w:r>
      <w:r w:rsidR="0085000D">
        <w:t xml:space="preserve"> can also be used with no additional signaling of the strongest beam.</w:t>
      </w:r>
    </w:p>
    <w:p w:rsidR="00B7536B" w:rsidRDefault="0085000D" w:rsidP="003F2CF1">
      <w:pPr>
        <w:spacing w:before="0" w:after="200" w:line="276" w:lineRule="auto"/>
      </w:pPr>
      <w:r>
        <w:t xml:space="preserve">An example is shown in </w:t>
      </w:r>
      <w:r>
        <w:fldChar w:fldCharType="begin"/>
      </w:r>
      <w:r>
        <w:instrText xml:space="preserve"> REF _Ref534978899 \h </w:instrText>
      </w:r>
      <w:r>
        <w:fldChar w:fldCharType="separate"/>
      </w:r>
      <w:r>
        <w:t xml:space="preserve">Figure </w:t>
      </w:r>
      <w:r>
        <w:rPr>
          <w:noProof/>
        </w:rPr>
        <w:t>6</w:t>
      </w:r>
      <w:r>
        <w:fldChar w:fldCharType="end"/>
      </w:r>
      <w:r>
        <w:t xml:space="preserve"> for the case of </w:t>
      </w:r>
      <w:r>
        <w:rPr>
          <w:i/>
        </w:rPr>
        <w:t xml:space="preserve">M = </w:t>
      </w:r>
      <w:r>
        <w:t xml:space="preserve">4 coefficients per beam. One beam’s worth of amplitude and phase quantization coefficients are shown with the most significant bits amplitude bits for each coefficient followed by the least significant bit of the coefficient whose first stage amplitude representation (i.e. three bits) is largest.   </w:t>
      </w:r>
      <w:r w:rsidR="00D75ACD">
        <w:t xml:space="preserve">Similarly, the least significant phase bit for the coefficient with largest first stage amplitude follows the first stage representations of the beam’s phase coefficients.   </w:t>
      </w:r>
      <w:r w:rsidR="00B7536B">
        <w:t xml:space="preserve">In the general case of </w:t>
      </w:r>
      <m:oMath>
        <m:sSub>
          <m:sSubPr>
            <m:ctrlPr>
              <w:rPr>
                <w:rFonts w:ascii="Cambria Math" w:hAnsi="Cambria Math"/>
                <w:i/>
              </w:rPr>
            </m:ctrlPr>
          </m:sSubPr>
          <m:e>
            <m:r>
              <w:rPr>
                <w:rFonts w:ascii="Cambria Math" w:hAnsi="Cambria Math"/>
              </w:rPr>
              <m:t>N</m:t>
            </m:r>
          </m:e>
          <m:sub>
            <m:r>
              <w:rPr>
                <w:rFonts w:ascii="Cambria Math" w:hAnsi="Cambria Math"/>
              </w:rPr>
              <m:t>MSB</m:t>
            </m:r>
          </m:sub>
        </m:sSub>
      </m:oMath>
      <w:r w:rsidR="00B7536B">
        <w:t xml:space="preserve"> first stage bits and </w:t>
      </w:r>
      <m:oMath>
        <m:sSub>
          <m:sSubPr>
            <m:ctrlPr>
              <w:rPr>
                <w:rFonts w:ascii="Cambria Math" w:hAnsi="Cambria Math"/>
                <w:i/>
              </w:rPr>
            </m:ctrlPr>
          </m:sSubPr>
          <m:e>
            <m:r>
              <w:rPr>
                <w:rFonts w:ascii="Cambria Math" w:hAnsi="Cambria Math"/>
              </w:rPr>
              <m:t>N</m:t>
            </m:r>
          </m:e>
          <m:sub>
            <m:r>
              <w:rPr>
                <w:rFonts w:ascii="Cambria Math" w:hAnsi="Cambria Math"/>
              </w:rPr>
              <m:t>LSB</m:t>
            </m:r>
          </m:sub>
        </m:sSub>
      </m:oMath>
      <w:r w:rsidR="00B7536B">
        <w:t xml:space="preserve"> second stage bits, the beams amplitude coefficients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sidR="00B7536B">
        <w:t xml:space="preserve">, </w:t>
      </w:r>
      <m:oMath>
        <m:r>
          <w:rPr>
            <w:rFonts w:ascii="Cambria Math" w:hAnsi="Cambria Math"/>
          </w:rPr>
          <m:t>m=1,2,…,M</m:t>
        </m:r>
      </m:oMath>
      <w:r w:rsidR="00B7536B">
        <w:t xml:space="preserve"> are given by</w:t>
      </w:r>
    </w:p>
    <w:p w:rsidR="00B7536B" w:rsidRPr="00C05D3B" w:rsidRDefault="00B7536B" w:rsidP="00C05D3B">
      <w:pPr>
        <w:spacing w:before="0" w:after="200" w:line="276" w:lineRule="auto"/>
        <w:jc w:val="center"/>
      </w:pP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sSubSup>
                      <m:sSubSupPr>
                        <m:ctrlPr>
                          <w:rPr>
                            <w:rFonts w:ascii="Cambria Math" w:hAnsi="Cambria Math"/>
                            <w:i/>
                          </w:rPr>
                        </m:ctrlPr>
                      </m:sSubSupPr>
                      <m:e>
                        <m:r>
                          <w:rPr>
                            <w:rFonts w:ascii="Cambria Math" w:hAnsi="Cambria Math"/>
                          </w:rPr>
                          <m:t>2</m:t>
                        </m:r>
                      </m:e>
                      <m:sub>
                        <m:r>
                          <w:rPr>
                            <w:rFonts w:ascii="Cambria Math" w:hAnsi="Cambria Math"/>
                          </w:rPr>
                          <m:t>LSB</m:t>
                        </m:r>
                      </m:sub>
                      <m:sup>
                        <m:r>
                          <w:rPr>
                            <w:rFonts w:ascii="Cambria Math" w:hAnsi="Cambria Math"/>
                          </w:rPr>
                          <m:t>N</m:t>
                        </m:r>
                      </m:sup>
                    </m:sSubSup>
                    <m:r>
                      <w:rPr>
                        <w:rFonts w:ascii="Cambria Math" w:hAnsi="Cambria Math"/>
                      </w:rPr>
                      <m:t>a</m:t>
                    </m:r>
                  </m:e>
                  <m:sub>
                    <m:r>
                      <w:rPr>
                        <w:rFonts w:ascii="Cambria Math" w:hAnsi="Cambria Math"/>
                      </w:rPr>
                      <m:t>i</m:t>
                    </m:r>
                    <m:r>
                      <w:rPr>
                        <w:rFonts w:ascii="Cambria Math" w:hAnsi="Cambria Math"/>
                      </w:rPr>
                      <m:t>,MSB</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r>
                      <w:rPr>
                        <w:rFonts w:ascii="Cambria Math" w:hAnsi="Cambria Math"/>
                      </w:rPr>
                      <m:t>,LSB</m:t>
                    </m:r>
                    <m:r>
                      <w:rPr>
                        <w:rFonts w:ascii="Cambria Math" w:hAnsi="Cambria Math"/>
                      </w:rPr>
                      <m:t>,</m:t>
                    </m:r>
                  </m:sub>
                </m:sSub>
                <m:r>
                  <w:rPr>
                    <w:rFonts w:ascii="Cambria Math" w:hAnsi="Cambria Math"/>
                  </w:rPr>
                  <m:t xml:space="preserve">        i=</m:t>
                </m:r>
                <m:acc>
                  <m:accPr>
                    <m:ctrlPr>
                      <w:rPr>
                        <w:rFonts w:ascii="Cambria Math" w:hAnsi="Cambria Math"/>
                        <w:i/>
                      </w:rPr>
                    </m:ctrlPr>
                  </m:accPr>
                  <m:e>
                    <m:r>
                      <w:rPr>
                        <w:rFonts w:ascii="Cambria Math" w:hAnsi="Cambria Math"/>
                      </w:rPr>
                      <m:t>i</m:t>
                    </m:r>
                  </m:e>
                </m:acc>
              </m:e>
              <m:e>
                <m:sSubSup>
                  <m:sSubSupPr>
                    <m:ctrlPr>
                      <w:rPr>
                        <w:rFonts w:ascii="Cambria Math" w:hAnsi="Cambria Math"/>
                        <w:i/>
                      </w:rPr>
                    </m:ctrlPr>
                  </m:sSubSupPr>
                  <m:e>
                    <m:r>
                      <w:rPr>
                        <w:rFonts w:ascii="Cambria Math" w:hAnsi="Cambria Math"/>
                      </w:rPr>
                      <m:t>2</m:t>
                    </m:r>
                  </m:e>
                  <m:sub>
                    <m:r>
                      <w:rPr>
                        <w:rFonts w:ascii="Cambria Math" w:hAnsi="Cambria Math"/>
                      </w:rPr>
                      <m:t>LSB</m:t>
                    </m:r>
                  </m:sub>
                  <m:sup>
                    <m:r>
                      <w:rPr>
                        <w:rFonts w:ascii="Cambria Math" w:hAnsi="Cambria Math"/>
                      </w:rPr>
                      <m:t>N</m:t>
                    </m:r>
                  </m:sup>
                </m:sSubSup>
                <m:sSub>
                  <m:sSubPr>
                    <m:ctrlPr>
                      <w:rPr>
                        <w:rFonts w:ascii="Cambria Math" w:hAnsi="Cambria Math"/>
                        <w:i/>
                      </w:rPr>
                    </m:ctrlPr>
                  </m:sSubPr>
                  <m:e>
                    <m:r>
                      <w:rPr>
                        <w:rFonts w:ascii="Cambria Math" w:hAnsi="Cambria Math"/>
                      </w:rPr>
                      <m:t>a</m:t>
                    </m:r>
                  </m:e>
                  <m:sub>
                    <m:r>
                      <w:rPr>
                        <w:rFonts w:ascii="Cambria Math" w:hAnsi="Cambria Math"/>
                      </w:rPr>
                      <m:t>i</m:t>
                    </m:r>
                    <m:r>
                      <w:rPr>
                        <w:rFonts w:ascii="Cambria Math" w:hAnsi="Cambria Math"/>
                      </w:rPr>
                      <m:t>,MSB</m:t>
                    </m:r>
                  </m:sub>
                </m:sSub>
                <m:r>
                  <w:rPr>
                    <w:rFonts w:ascii="Cambria Math" w:hAnsi="Cambria Math"/>
                  </w:rPr>
                  <m:t xml:space="preserve">                        i≠</m:t>
                </m:r>
                <m:acc>
                  <m:accPr>
                    <m:ctrlPr>
                      <w:rPr>
                        <w:rFonts w:ascii="Cambria Math" w:hAnsi="Cambria Math"/>
                        <w:i/>
                      </w:rPr>
                    </m:ctrlPr>
                  </m:accPr>
                  <m:e>
                    <m:r>
                      <w:rPr>
                        <w:rFonts w:ascii="Cambria Math" w:hAnsi="Cambria Math"/>
                      </w:rPr>
                      <m:t>i</m:t>
                    </m:r>
                  </m:e>
                </m:acc>
              </m:e>
            </m:eqArr>
          </m:e>
        </m:d>
      </m:oMath>
      <w:r w:rsidR="00C05D3B">
        <w:t>,</w:t>
      </w:r>
    </w:p>
    <w:p w:rsidR="00C05D3B" w:rsidRDefault="006E49F3" w:rsidP="003F2CF1">
      <w:pPr>
        <w:spacing w:before="0" w:after="200" w:line="276" w:lineRule="auto"/>
      </w:pPr>
      <w:r>
        <w:t>A similar equation holds for the phase bits.</w:t>
      </w:r>
    </w:p>
    <w:p w:rsidR="00C05D3B" w:rsidRDefault="00E4015D" w:rsidP="003F2CF1">
      <w:pPr>
        <w:spacing w:before="0" w:after="200" w:line="276" w:lineRule="auto"/>
        <w:rPr>
          <w:i/>
        </w:rPr>
      </w:pPr>
      <w:r>
        <w:rPr>
          <w:i/>
        </w:rPr>
        <w:t>Coefficient Scaling</w:t>
      </w:r>
    </w:p>
    <w:p w:rsidR="00E4015D" w:rsidRPr="007D3CAF" w:rsidRDefault="00E4015D" w:rsidP="003F2CF1">
      <w:pPr>
        <w:spacing w:before="0" w:after="200" w:line="276" w:lineRule="auto"/>
      </w:pPr>
      <w:r>
        <w:t xml:space="preserve">Related to quantization is the issue of coefficient scaling. In Release 15, </w:t>
      </w:r>
      <w:r w:rsidR="004679F0">
        <w:t>subband</w:t>
      </w:r>
      <w:r>
        <w:t xml:space="preserve"> amplitude was scaled relative to that of the strongest beam. How should scaling be accomplished with DFT compression.  While scaling in the frequency domain is tempting, it was observed that the multiplication by the inverse of the conjugate of the frequency domain coefficients resulted in a dispersion of energy across bases coefficients thereby increasing the number of coefficients needed to be reported. An alternative method based on scaling with respect to the first coefficient of the beam with largest sum over magnitudes (no square) is described in a companion contribution</w:t>
      </w:r>
      <w:r w:rsidR="007D3CAF">
        <w:t xml:space="preserve"> </w:t>
      </w:r>
      <w:r w:rsidR="007D3CAF">
        <w:fldChar w:fldCharType="begin"/>
      </w:r>
      <w:r w:rsidR="007D3CAF">
        <w:instrText xml:space="preserve"> REF _Ref535008927 \r \h </w:instrText>
      </w:r>
      <w:r w:rsidR="007D3CAF">
        <w:fldChar w:fldCharType="separate"/>
      </w:r>
      <w:r w:rsidR="007D3CAF">
        <w:t>[4]</w:t>
      </w:r>
      <w:r w:rsidR="007D3CAF">
        <w:fldChar w:fldCharType="end"/>
      </w:r>
      <w:r>
        <w:t xml:space="preserve">. </w:t>
      </w:r>
    </w:p>
    <w:p w:rsidR="00E4015D" w:rsidRPr="007D3CAF" w:rsidRDefault="00E4015D" w:rsidP="003F2CF1">
      <w:pPr>
        <w:spacing w:before="0" w:after="200" w:line="276" w:lineRule="auto"/>
        <w:rPr>
          <w:i/>
        </w:rPr>
      </w:pPr>
    </w:p>
    <w:p w:rsidR="0085000D" w:rsidRDefault="00F339F9" w:rsidP="0085000D">
      <w:pPr>
        <w:keepNext/>
        <w:spacing w:before="0" w:after="200" w:line="276" w:lineRule="auto"/>
        <w:jc w:val="center"/>
      </w:pPr>
      <w:r>
        <w:object w:dxaOrig="7355" w:dyaOrig="4759">
          <v:shape id="_x0000_i1028" type="#_x0000_t75" style="width:367.5pt;height:237.9pt" o:ole="">
            <v:imagedata r:id="rId17" o:title=""/>
          </v:shape>
          <o:OLEObject Type="Embed" ProgID="Visio.Drawing.11" ShapeID="_x0000_i1028" DrawAspect="Content" ObjectID="_1608753179" r:id="rId18"/>
        </w:object>
      </w:r>
    </w:p>
    <w:p w:rsidR="0056100C" w:rsidRDefault="0056100C" w:rsidP="0056100C">
      <w:pPr>
        <w:keepNext/>
        <w:spacing w:before="0" w:after="200" w:line="276" w:lineRule="auto"/>
        <w:jc w:val="left"/>
      </w:pPr>
    </w:p>
    <w:p w:rsidR="00F339F9" w:rsidRDefault="0085000D" w:rsidP="0085000D">
      <w:pPr>
        <w:pStyle w:val="Caption"/>
      </w:pPr>
      <w:bookmarkStart w:id="14" w:name="_Ref534978899"/>
      <w:r>
        <w:t xml:space="preserve">Figure </w:t>
      </w:r>
      <w:r>
        <w:fldChar w:fldCharType="begin"/>
      </w:r>
      <w:r>
        <w:instrText xml:space="preserve"> SEQ Figure \* ARABIC </w:instrText>
      </w:r>
      <w:r>
        <w:fldChar w:fldCharType="separate"/>
      </w:r>
      <w:r w:rsidR="004D3D75">
        <w:rPr>
          <w:noProof/>
        </w:rPr>
        <w:t>6</w:t>
      </w:r>
      <w:r>
        <w:fldChar w:fldCharType="end"/>
      </w:r>
      <w:bookmarkEnd w:id="14"/>
      <w:r>
        <w:t xml:space="preserve">: Two-stage quantization of a beam’s amplitude and phase coefficients. </w:t>
      </w:r>
      <w:r w:rsidR="00637E89">
        <w:t>In this example t</w:t>
      </w:r>
      <w:r>
        <w:t xml:space="preserve">he index of the coefficient with highest 3 bit magnitude is </w:t>
      </w:r>
      <m:oMath>
        <m:acc>
          <m:accPr>
            <m:ctrlPr>
              <w:rPr>
                <w:rFonts w:ascii="Cambria Math" w:hAnsi="Cambria Math"/>
                <w:i/>
              </w:rPr>
            </m:ctrlPr>
          </m:accPr>
          <m:e>
            <m:r>
              <m:rPr>
                <m:sty m:val="bi"/>
              </m:rPr>
              <w:rPr>
                <w:rFonts w:ascii="Cambria Math" w:hAnsi="Cambria Math"/>
              </w:rPr>
              <m:t>i</m:t>
            </m:r>
          </m:e>
        </m:acc>
        <m:r>
          <m:rPr>
            <m:sty m:val="bi"/>
          </m:rPr>
          <w:rPr>
            <w:rFonts w:ascii="Cambria Math" w:hAnsi="Cambria Math"/>
          </w:rPr>
          <m:t>=1</m:t>
        </m:r>
      </m:oMath>
      <w:r>
        <w:t xml:space="preserve"> . </w:t>
      </w:r>
    </w:p>
    <w:p w:rsidR="0056100C" w:rsidRDefault="0056100C" w:rsidP="0056100C"/>
    <w:p w:rsidR="0056100C" w:rsidRPr="0056100C" w:rsidRDefault="0056100C" w:rsidP="0056100C">
      <w:pPr>
        <w:rPr>
          <w:i/>
        </w:rPr>
      </w:pPr>
      <w:r w:rsidRPr="0056100C">
        <w:rPr>
          <w:i/>
        </w:rPr>
        <w:t>Simulation Results</w:t>
      </w:r>
    </w:p>
    <w:p w:rsidR="00BD2011" w:rsidRDefault="00637E89" w:rsidP="0056100C">
      <w:r>
        <w:t xml:space="preserve">Simulations of Alt 1A and Alt 5A were performed to compare the cell edge and throughput performance of the two schemes. </w:t>
      </w:r>
      <w:r w:rsidR="00BD2011">
        <w:t>Results for additional alternatives will be added in a revision of this contribution</w:t>
      </w:r>
      <w:r w:rsidR="00322D68">
        <w:t>.</w:t>
      </w:r>
      <w:r w:rsidR="00BD2011">
        <w:t xml:space="preserve"> </w:t>
      </w:r>
      <w:r>
        <w:t xml:space="preserve">For both alternatives a common basis with </w:t>
      </w:r>
      <w:r>
        <w:rPr>
          <w:i/>
        </w:rPr>
        <w:t xml:space="preserve">M </w:t>
      </w:r>
      <w:r>
        <w:t xml:space="preserve">= 4 was used. Other than differences in coefficient quantization, the simulation assumptions are the same as in Sec. </w:t>
      </w:r>
      <w:r>
        <w:fldChar w:fldCharType="begin"/>
      </w:r>
      <w:r>
        <w:instrText xml:space="preserve"> REF _Ref534992054 \r \h </w:instrText>
      </w:r>
      <w:r>
        <w:fldChar w:fldCharType="separate"/>
      </w:r>
      <w:r>
        <w:t>2.4</w:t>
      </w:r>
      <w:r>
        <w:fldChar w:fldCharType="end"/>
      </w:r>
      <w:r>
        <w:t xml:space="preserve">. </w:t>
      </w:r>
      <w:r w:rsidR="00BD2011">
        <w:t xml:space="preserve">The </w:t>
      </w:r>
      <w:r>
        <w:t xml:space="preserve">cell edge </w:t>
      </w:r>
      <w:r w:rsidR="00BD2011">
        <w:t xml:space="preserve">and average UPT performance are shown </w:t>
      </w:r>
      <w:r w:rsidR="006E49F3">
        <w:t>in</w:t>
      </w:r>
      <w:r>
        <w:t xml:space="preserve"> </w:t>
      </w:r>
      <w:r>
        <w:fldChar w:fldCharType="begin"/>
      </w:r>
      <w:r>
        <w:instrText xml:space="preserve"> REF _Ref534992267 \h </w:instrText>
      </w:r>
      <w:r>
        <w:fldChar w:fldCharType="separate"/>
      </w:r>
      <w:r>
        <w:t xml:space="preserve">Figure </w:t>
      </w:r>
      <w:r>
        <w:rPr>
          <w:noProof/>
        </w:rPr>
        <w:t>7</w:t>
      </w:r>
      <w:r>
        <w:fldChar w:fldCharType="end"/>
      </w:r>
      <w:r w:rsidR="00BD2011">
        <w:t xml:space="preserve"> and </w:t>
      </w:r>
      <w:r w:rsidR="00BD2011">
        <w:fldChar w:fldCharType="begin"/>
      </w:r>
      <w:r w:rsidR="00BD2011">
        <w:instrText xml:space="preserve"> REF _Ref534992463 \h </w:instrText>
      </w:r>
      <w:r w:rsidR="00BD2011">
        <w:fldChar w:fldCharType="separate"/>
      </w:r>
      <w:r w:rsidR="00BD2011">
        <w:t xml:space="preserve">Figure </w:t>
      </w:r>
      <w:r w:rsidR="00BD2011">
        <w:rPr>
          <w:noProof/>
        </w:rPr>
        <w:t>8</w:t>
      </w:r>
      <w:r w:rsidR="00BD2011">
        <w:fldChar w:fldCharType="end"/>
      </w:r>
      <w:r w:rsidR="00BD2011">
        <w:t xml:space="preserve">.  In cell edge we see a gain of between 0.5% and 1% while the gain in average throughput is smaller, up to 0.5%.  Overall we see Alt 5A outperforms 1A and should therefore should be further considered for quantization of the linear combining coefficients. </w:t>
      </w:r>
    </w:p>
    <w:p w:rsidR="00BD2011" w:rsidRDefault="00BD2011" w:rsidP="0056100C"/>
    <w:p w:rsidR="00BD2011" w:rsidRDefault="00BD2011" w:rsidP="0056100C">
      <w:pPr>
        <w:rPr>
          <w:b/>
          <w:i/>
        </w:rPr>
      </w:pPr>
      <w:r w:rsidRPr="00BD2011">
        <w:rPr>
          <w:b/>
          <w:i/>
        </w:rPr>
        <w:t xml:space="preserve">Observation 3: Alternative 5A outperforms Alternative 1A in both cell edge and average throughput. </w:t>
      </w:r>
    </w:p>
    <w:p w:rsidR="00BD2011" w:rsidRPr="00BD2011" w:rsidRDefault="00BD2011" w:rsidP="0056100C">
      <w:pPr>
        <w:rPr>
          <w:b/>
          <w:i/>
        </w:rPr>
      </w:pPr>
    </w:p>
    <w:p w:rsidR="00BD2011" w:rsidRPr="00322D68" w:rsidRDefault="00BD2011" w:rsidP="0056100C">
      <w:pPr>
        <w:rPr>
          <w:b/>
          <w:i/>
        </w:rPr>
      </w:pPr>
      <w:r w:rsidRPr="00322D68">
        <w:rPr>
          <w:b/>
          <w:i/>
        </w:rPr>
        <w:t xml:space="preserve">Proposal </w:t>
      </w:r>
      <w:r w:rsidR="006E49F3">
        <w:rPr>
          <w:b/>
          <w:i/>
        </w:rPr>
        <w:t>5</w:t>
      </w:r>
      <w:r w:rsidRPr="00322D68">
        <w:rPr>
          <w:b/>
          <w:i/>
        </w:rPr>
        <w:t xml:space="preserve">: </w:t>
      </w:r>
      <w:r w:rsidR="00322D68" w:rsidRPr="00322D68">
        <w:rPr>
          <w:b/>
          <w:i/>
        </w:rPr>
        <w:t>Alternative 5A should be further considered for quantization of linear combining coefficients.</w:t>
      </w:r>
    </w:p>
    <w:p w:rsidR="00322D68" w:rsidRDefault="00322D68" w:rsidP="0056100C"/>
    <w:p w:rsidR="004D3D75" w:rsidRDefault="004D3D75" w:rsidP="004D3D75">
      <w:pPr>
        <w:keepNext/>
        <w:spacing w:before="0" w:after="200" w:line="276" w:lineRule="auto"/>
        <w:jc w:val="left"/>
      </w:pPr>
      <w:r>
        <w:rPr>
          <w:noProof/>
        </w:rPr>
        <w:lastRenderedPageBreak/>
        <w:drawing>
          <wp:inline distT="0" distB="0" distL="0" distR="0" wp14:anchorId="01A24B0E">
            <wp:extent cx="5426075" cy="36271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6075" cy="3627120"/>
                    </a:xfrm>
                    <a:prstGeom prst="rect">
                      <a:avLst/>
                    </a:prstGeom>
                    <a:noFill/>
                  </pic:spPr>
                </pic:pic>
              </a:graphicData>
            </a:graphic>
          </wp:inline>
        </w:drawing>
      </w:r>
    </w:p>
    <w:p w:rsidR="00F339F9" w:rsidRDefault="004D3D75" w:rsidP="004D3D75">
      <w:pPr>
        <w:pStyle w:val="Caption"/>
      </w:pPr>
      <w:bookmarkStart w:id="15" w:name="_Ref534992267"/>
      <w:r>
        <w:t xml:space="preserve">Figure </w:t>
      </w:r>
      <w:r>
        <w:fldChar w:fldCharType="begin"/>
      </w:r>
      <w:r>
        <w:instrText xml:space="preserve"> SEQ Figure \* ARABIC </w:instrText>
      </w:r>
      <w:r>
        <w:fldChar w:fldCharType="separate"/>
      </w:r>
      <w:r>
        <w:rPr>
          <w:noProof/>
        </w:rPr>
        <w:t>7</w:t>
      </w:r>
      <w:r>
        <w:fldChar w:fldCharType="end"/>
      </w:r>
      <w:bookmarkEnd w:id="15"/>
      <w:r>
        <w:t>: Cell edge comparison of Alt 1 and Alt 5A</w:t>
      </w:r>
    </w:p>
    <w:p w:rsidR="004D3D75" w:rsidRDefault="004D3D75" w:rsidP="00CC3958">
      <w:pPr>
        <w:spacing w:before="0" w:after="200" w:line="276" w:lineRule="auto"/>
        <w:jc w:val="left"/>
      </w:pPr>
    </w:p>
    <w:p w:rsidR="004D3D75" w:rsidRDefault="004D3D75" w:rsidP="004D3D75">
      <w:pPr>
        <w:keepNext/>
        <w:spacing w:before="0" w:after="200" w:line="276" w:lineRule="auto"/>
        <w:jc w:val="left"/>
      </w:pPr>
      <w:r>
        <w:rPr>
          <w:noProof/>
        </w:rPr>
        <w:drawing>
          <wp:inline distT="0" distB="0" distL="0" distR="0" wp14:anchorId="50E14AF4">
            <wp:extent cx="5389245" cy="362140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89245" cy="3621405"/>
                    </a:xfrm>
                    <a:prstGeom prst="rect">
                      <a:avLst/>
                    </a:prstGeom>
                    <a:noFill/>
                  </pic:spPr>
                </pic:pic>
              </a:graphicData>
            </a:graphic>
          </wp:inline>
        </w:drawing>
      </w:r>
    </w:p>
    <w:p w:rsidR="004D3D75" w:rsidRDefault="004D3D75" w:rsidP="004D3D75">
      <w:pPr>
        <w:pStyle w:val="Caption"/>
      </w:pPr>
      <w:bookmarkStart w:id="16" w:name="_Ref534992463"/>
      <w:r>
        <w:t xml:space="preserve">Figure </w:t>
      </w:r>
      <w:r>
        <w:fldChar w:fldCharType="begin"/>
      </w:r>
      <w:r>
        <w:instrText xml:space="preserve"> SEQ Figure \* ARABIC </w:instrText>
      </w:r>
      <w:r>
        <w:fldChar w:fldCharType="separate"/>
      </w:r>
      <w:r>
        <w:rPr>
          <w:noProof/>
        </w:rPr>
        <w:t>8</w:t>
      </w:r>
      <w:r>
        <w:fldChar w:fldCharType="end"/>
      </w:r>
      <w:bookmarkEnd w:id="16"/>
      <w:r>
        <w:t xml:space="preserve">: </w:t>
      </w:r>
      <w:r w:rsidR="00637E89">
        <w:t xml:space="preserve">Average UPT comparison of </w:t>
      </w:r>
      <w:r>
        <w:t xml:space="preserve"> of Alt 1 and Alt 5A</w:t>
      </w:r>
    </w:p>
    <w:p w:rsidR="00F339F9" w:rsidRDefault="00F339F9" w:rsidP="00CC3958">
      <w:pPr>
        <w:spacing w:before="0" w:after="200" w:line="276" w:lineRule="auto"/>
        <w:jc w:val="left"/>
      </w:pPr>
    </w:p>
    <w:p w:rsidR="00F339F9" w:rsidRPr="00C6604E" w:rsidRDefault="00F339F9" w:rsidP="00CC3958">
      <w:pPr>
        <w:spacing w:before="0" w:after="200" w:line="276" w:lineRule="auto"/>
        <w:jc w:val="left"/>
      </w:pPr>
    </w:p>
    <w:p w:rsidR="00FA5082" w:rsidRDefault="00FA5082" w:rsidP="002D63E0">
      <w:pPr>
        <w:pStyle w:val="Heading1"/>
        <w:spacing w:before="240" w:after="0"/>
        <w:rPr>
          <w:kern w:val="2"/>
        </w:rPr>
      </w:pPr>
      <w:r w:rsidRPr="002D63E0">
        <w:rPr>
          <w:kern w:val="2"/>
        </w:rPr>
        <w:t>Conclusion</w:t>
      </w:r>
      <w:r w:rsidR="002D63E0" w:rsidRPr="002D63E0">
        <w:rPr>
          <w:kern w:val="2"/>
        </w:rPr>
        <w:t>s</w:t>
      </w:r>
    </w:p>
    <w:p w:rsidR="00954E7F" w:rsidRPr="00954E7F" w:rsidRDefault="00954E7F" w:rsidP="00954E7F">
      <w:r>
        <w:t>This following observations were made in this contribution</w:t>
      </w:r>
    </w:p>
    <w:p w:rsidR="00954E7F" w:rsidRDefault="00954E7F" w:rsidP="00954E7F">
      <w:pPr>
        <w:spacing w:before="120" w:after="120"/>
        <w:rPr>
          <w:b/>
          <w:i/>
        </w:rPr>
      </w:pPr>
      <w:r w:rsidRPr="00BA50D0">
        <w:rPr>
          <w:b/>
          <w:i/>
        </w:rPr>
        <w:t>Observation 1</w:t>
      </w:r>
      <w:r>
        <w:rPr>
          <w:b/>
          <w:i/>
        </w:rPr>
        <w:t xml:space="preserve">: </w:t>
      </w:r>
      <w:r w:rsidRPr="00BA50D0">
        <w:rPr>
          <w:b/>
          <w:i/>
        </w:rPr>
        <w:t xml:space="preserve">Alt 1B with the composition </w:t>
      </w:r>
      <w:r>
        <w:rPr>
          <w:b/>
          <w:i/>
        </w:rPr>
        <w:t xml:space="preserve">across beam </w:t>
      </w:r>
      <w:r w:rsidRPr="00BA50D0">
        <w:rPr>
          <w:b/>
          <w:i/>
        </w:rPr>
        <w:t>of the K</w:t>
      </w:r>
      <w:r w:rsidRPr="00BA50D0">
        <w:rPr>
          <w:b/>
          <w:i/>
          <w:vertAlign w:val="subscript"/>
        </w:rPr>
        <w:t>0</w:t>
      </w:r>
      <w:r w:rsidRPr="00BA50D0">
        <w:rPr>
          <w:b/>
          <w:i/>
        </w:rPr>
        <w:t xml:space="preserve"> coefficients weighted according to </w:t>
      </w:r>
      <w:r>
        <w:rPr>
          <w:b/>
          <w:i/>
        </w:rPr>
        <w:t xml:space="preserve">beam space ranking </w:t>
      </w:r>
      <w:r w:rsidRPr="00BA50D0">
        <w:rPr>
          <w:b/>
          <w:i/>
        </w:rPr>
        <w:t xml:space="preserve"> improves both cell edge and average user packet throughput compared to Alt 1A and </w:t>
      </w:r>
      <w:r>
        <w:rPr>
          <w:b/>
          <w:i/>
        </w:rPr>
        <w:t xml:space="preserve">Alt </w:t>
      </w:r>
      <w:r w:rsidRPr="00BA50D0">
        <w:rPr>
          <w:b/>
          <w:i/>
        </w:rPr>
        <w:t xml:space="preserve">2. </w:t>
      </w:r>
    </w:p>
    <w:p w:rsidR="00954E7F" w:rsidRPr="00BD2011" w:rsidRDefault="00954E7F" w:rsidP="00954E7F">
      <w:pPr>
        <w:rPr>
          <w:b/>
          <w:i/>
        </w:rPr>
      </w:pPr>
      <w:r w:rsidRPr="00BD2011">
        <w:rPr>
          <w:b/>
          <w:i/>
        </w:rPr>
        <w:t xml:space="preserve">Observation 2: Oversampling by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3</m:t>
            </m:r>
          </m:sub>
        </m:sSub>
      </m:oMath>
      <w:r w:rsidRPr="00BD2011">
        <w:rPr>
          <w:b/>
          <w:i/>
        </w:rPr>
        <w:t xml:space="preserve"> = 4 provides non-negligible UPT throughput compared to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3</m:t>
            </m:r>
          </m:sub>
        </m:sSub>
      </m:oMath>
      <w:r w:rsidRPr="00BD2011">
        <w:rPr>
          <w:b/>
          <w:i/>
        </w:rPr>
        <w:t xml:space="preserve"> = 1 for 10 MHz.</w:t>
      </w:r>
    </w:p>
    <w:p w:rsidR="00954E7F" w:rsidRDefault="00954E7F" w:rsidP="00954E7F">
      <w:pPr>
        <w:rPr>
          <w:b/>
          <w:i/>
        </w:rPr>
      </w:pPr>
      <w:r w:rsidRPr="00BD2011">
        <w:rPr>
          <w:b/>
          <w:i/>
        </w:rPr>
        <w:t xml:space="preserve">Observation 3: Alternative 5A outperforms Alternative 1A in both cell edge and average throughput. </w:t>
      </w:r>
    </w:p>
    <w:p w:rsidR="00954E7F" w:rsidRPr="00954E7F" w:rsidRDefault="00954E7F" w:rsidP="00954E7F">
      <w:pPr>
        <w:spacing w:before="120" w:after="120"/>
      </w:pPr>
      <w:r w:rsidRPr="00954E7F">
        <w:t>and the following proposals recommended for DFT-based Type II CSI compression:</w:t>
      </w:r>
    </w:p>
    <w:p w:rsidR="00954E7F" w:rsidRDefault="00954E7F" w:rsidP="00954E7F">
      <w:pPr>
        <w:spacing w:before="120"/>
        <w:rPr>
          <w:b/>
          <w:i/>
        </w:rPr>
      </w:pPr>
      <w:r w:rsidRPr="00BA50D0">
        <w:rPr>
          <w:b/>
          <w:i/>
        </w:rPr>
        <w:t xml:space="preserve">Proposal 1: </w:t>
      </w:r>
      <w:r>
        <w:rPr>
          <w:b/>
          <w:i/>
        </w:rPr>
        <w:t xml:space="preserve">Support </w:t>
      </w:r>
      <w:r w:rsidRPr="00BA50D0">
        <w:rPr>
          <w:b/>
          <w:i/>
        </w:rPr>
        <w:t>common basis vectors with subset selection</w:t>
      </w:r>
      <w:r>
        <w:rPr>
          <w:b/>
          <w:i/>
        </w:rPr>
        <w:t>, Alt 1B,  for the method of linear combination selection</w:t>
      </w:r>
      <w:r w:rsidRPr="00BA50D0">
        <w:rPr>
          <w:b/>
          <w:i/>
        </w:rPr>
        <w:t xml:space="preserve">. </w:t>
      </w:r>
    </w:p>
    <w:p w:rsidR="00954E7F" w:rsidRDefault="00954E7F" w:rsidP="00954E7F">
      <w:pPr>
        <w:spacing w:before="120"/>
        <w:rPr>
          <w:b/>
          <w:i/>
        </w:rPr>
      </w:pPr>
      <w:r>
        <w:rPr>
          <w:b/>
          <w:i/>
        </w:rPr>
        <w:t>Proposal 2: In Alt 1, partition the K</w:t>
      </w:r>
      <w:r w:rsidRPr="00601438">
        <w:rPr>
          <w:b/>
          <w:i/>
          <w:vertAlign w:val="subscript"/>
        </w:rPr>
        <w:t>0</w:t>
      </w:r>
      <w:r>
        <w:rPr>
          <w:b/>
          <w:i/>
        </w:rPr>
        <w:t xml:space="preserve"> coefficients into subsets whose size are fixed or higher-layered configured and the assignment of subsets to beams dependent on  the beam’s energy. </w:t>
      </w:r>
    </w:p>
    <w:p w:rsidR="00954E7F" w:rsidRPr="00BD2011" w:rsidRDefault="00954E7F" w:rsidP="00954E7F">
      <w:pPr>
        <w:spacing w:before="120"/>
        <w:rPr>
          <w:b/>
          <w:i/>
        </w:rPr>
      </w:pPr>
      <w:r w:rsidRPr="00BD2011">
        <w:rPr>
          <w:b/>
          <w:i/>
        </w:rPr>
        <w:t xml:space="preserve">Proposal </w:t>
      </w:r>
      <w:r>
        <w:rPr>
          <w:b/>
          <w:i/>
        </w:rPr>
        <w:t>3</w:t>
      </w:r>
      <w:r w:rsidRPr="00BD2011">
        <w:rPr>
          <w:b/>
          <w:i/>
        </w:rPr>
        <w:t>:   The DFT basis oversampling factor should be fixed to  O</w:t>
      </w:r>
      <w:r w:rsidRPr="00BD2011">
        <w:rPr>
          <w:rFonts w:ascii="Times New Roman Italic" w:hAnsi="Times New Roman Italic"/>
          <w:b/>
          <w:i/>
          <w:vertAlign w:val="subscript"/>
        </w:rPr>
        <w:t>3</w:t>
      </w:r>
      <w:r w:rsidRPr="00BD2011">
        <w:rPr>
          <w:b/>
          <w:i/>
        </w:rPr>
        <w:t xml:space="preserve"> = 4 (Alt 1)</w:t>
      </w:r>
    </w:p>
    <w:p w:rsidR="00954E7F" w:rsidRPr="00BD2011" w:rsidRDefault="00954E7F" w:rsidP="00954E7F">
      <w:pPr>
        <w:spacing w:before="120"/>
        <w:rPr>
          <w:b/>
          <w:i/>
        </w:rPr>
      </w:pPr>
      <w:r w:rsidRPr="00BD2011">
        <w:rPr>
          <w:b/>
          <w:i/>
        </w:rPr>
        <w:t xml:space="preserve">Proposal </w:t>
      </w:r>
      <w:r>
        <w:rPr>
          <w:b/>
          <w:i/>
        </w:rPr>
        <w:t>4</w:t>
      </w:r>
      <w:r w:rsidRPr="00BD2011">
        <w:rPr>
          <w:b/>
          <w:i/>
        </w:rPr>
        <w:t xml:space="preserve">: FD compression size should be higher-layer configured to a value of  X  = {2, 4} </w:t>
      </w:r>
      <w:r w:rsidR="004679F0">
        <w:rPr>
          <w:b/>
          <w:i/>
        </w:rPr>
        <w:t>subband</w:t>
      </w:r>
      <w:r w:rsidRPr="00BD2011">
        <w:rPr>
          <w:b/>
          <w:i/>
        </w:rPr>
        <w:t>s (Alt 2.3)</w:t>
      </w:r>
    </w:p>
    <w:p w:rsidR="00954E7F" w:rsidRPr="00322D68" w:rsidRDefault="00954E7F" w:rsidP="00954E7F">
      <w:pPr>
        <w:spacing w:before="120"/>
        <w:rPr>
          <w:b/>
          <w:i/>
        </w:rPr>
      </w:pPr>
      <w:r w:rsidRPr="00322D68">
        <w:rPr>
          <w:b/>
          <w:i/>
        </w:rPr>
        <w:t xml:space="preserve">Proposal </w:t>
      </w:r>
      <w:r>
        <w:rPr>
          <w:b/>
          <w:i/>
        </w:rPr>
        <w:t>5</w:t>
      </w:r>
      <w:r w:rsidRPr="00322D68">
        <w:rPr>
          <w:b/>
          <w:i/>
        </w:rPr>
        <w:t>: Alternative 5A should be further considered for quantization of linear combining coefficients.</w:t>
      </w:r>
    </w:p>
    <w:p w:rsidR="00923088" w:rsidRDefault="00923088" w:rsidP="00923088">
      <w:pPr>
        <w:pStyle w:val="Heading1"/>
        <w:spacing w:before="240" w:after="0"/>
        <w:rPr>
          <w:kern w:val="2"/>
        </w:rPr>
      </w:pPr>
      <w:r>
        <w:rPr>
          <w:kern w:val="2"/>
        </w:rPr>
        <w:t>Reference</w:t>
      </w:r>
      <w:r w:rsidR="00B76E17">
        <w:rPr>
          <w:kern w:val="2"/>
        </w:rPr>
        <w:t>s</w:t>
      </w:r>
    </w:p>
    <w:p w:rsidR="001C411F" w:rsidRDefault="004F0E5C" w:rsidP="004F0E5C">
      <w:pPr>
        <w:pStyle w:val="Reference"/>
      </w:pPr>
      <w:bookmarkStart w:id="17" w:name="_Ref307931325"/>
      <w:bookmarkStart w:id="18" w:name="_Ref307997730"/>
      <w:r w:rsidRPr="004F0E5C">
        <w:t>R1-1814201</w:t>
      </w:r>
      <w:r w:rsidR="002F594E">
        <w:t xml:space="preserve">, </w:t>
      </w:r>
      <w:r w:rsidR="008D2E8B">
        <w:t>“</w:t>
      </w:r>
      <w:r w:rsidRPr="004F0E5C">
        <w:t>Outcome of offline session for CSI enhance</w:t>
      </w:r>
      <w:bookmarkStart w:id="19" w:name="_GoBack"/>
      <w:bookmarkEnd w:id="19"/>
      <w:r w:rsidRPr="004F0E5C">
        <w:t>ment for MU-MIMO support</w:t>
      </w:r>
      <w:r w:rsidR="008D2E8B">
        <w:t>”</w:t>
      </w:r>
      <w:r>
        <w:t>, Samsung</w:t>
      </w:r>
      <w:r w:rsidR="002F594E">
        <w:t>.</w:t>
      </w:r>
      <w:bookmarkEnd w:id="17"/>
      <w:bookmarkEnd w:id="18"/>
    </w:p>
    <w:p w:rsidR="003122BE" w:rsidRPr="00543B5F" w:rsidRDefault="003122BE" w:rsidP="003122BE">
      <w:pPr>
        <w:pStyle w:val="Reference"/>
      </w:pPr>
      <w:r w:rsidRPr="003122BE">
        <w:rPr>
          <w:lang w:val="en-GB"/>
        </w:rPr>
        <w:t>R1-1813270</w:t>
      </w:r>
      <w:r>
        <w:rPr>
          <w:lang w:val="en-GB"/>
        </w:rPr>
        <w:t>, “</w:t>
      </w:r>
      <w:r w:rsidRPr="003122BE">
        <w:rPr>
          <w:lang w:val="en-GB"/>
        </w:rPr>
        <w:t>On CSI enhancements for MU-MIMO support</w:t>
      </w:r>
      <w:r>
        <w:rPr>
          <w:lang w:val="en-GB"/>
        </w:rPr>
        <w:t>”, Ericsson</w:t>
      </w:r>
      <w:r w:rsidR="00543B5F">
        <w:rPr>
          <w:lang w:val="en-GB"/>
        </w:rPr>
        <w:t>.</w:t>
      </w:r>
    </w:p>
    <w:p w:rsidR="00543B5F" w:rsidRDefault="00543B5F" w:rsidP="003122BE">
      <w:pPr>
        <w:pStyle w:val="Reference"/>
      </w:pPr>
      <w:bookmarkStart w:id="20" w:name="_Ref534999340"/>
      <w:r>
        <w:t>R1-1900946, “Impact of FFT size on oversampling gain in Type II CSI compression”, Motorola Mobility, Lenovo.</w:t>
      </w:r>
      <w:bookmarkEnd w:id="20"/>
    </w:p>
    <w:p w:rsidR="007D3CAF" w:rsidRDefault="007D3CAF" w:rsidP="007D3CAF">
      <w:pPr>
        <w:pStyle w:val="Reference"/>
      </w:pPr>
      <w:bookmarkStart w:id="21" w:name="_Ref535008927"/>
      <w:r>
        <w:t>R1-1900945, “</w:t>
      </w:r>
      <w:r w:rsidRPr="007D3CAF">
        <w:t>Quantizer normalization for Type-2 codebook compression</w:t>
      </w:r>
      <w:r>
        <w:t>”, Motorola Mobility, Lenovo.</w:t>
      </w:r>
      <w:bookmarkEnd w:id="21"/>
    </w:p>
    <w:p w:rsidR="00543B5F" w:rsidRDefault="00543B5F" w:rsidP="00543B5F">
      <w:pPr>
        <w:pStyle w:val="Reference"/>
        <w:numPr>
          <w:ilvl w:val="0"/>
          <w:numId w:val="0"/>
        </w:numPr>
        <w:ind w:left="360" w:hanging="360"/>
      </w:pPr>
    </w:p>
    <w:p w:rsidR="00543B5F" w:rsidRDefault="00543B5F">
      <w:pPr>
        <w:spacing w:before="0" w:after="0" w:line="240" w:lineRule="auto"/>
        <w:jc w:val="left"/>
      </w:pPr>
      <w:r>
        <w:br w:type="page"/>
      </w:r>
    </w:p>
    <w:p w:rsidR="00543B5F" w:rsidRPr="002D010B" w:rsidRDefault="00543B5F" w:rsidP="00543B5F">
      <w:pPr>
        <w:spacing w:after="240"/>
        <w:rPr>
          <w:rFonts w:ascii="Arial" w:hAnsi="Arial" w:cs="Arial"/>
          <w:b/>
          <w:sz w:val="24"/>
        </w:rPr>
      </w:pPr>
      <w:r w:rsidRPr="002D010B">
        <w:rPr>
          <w:rFonts w:ascii="Arial" w:hAnsi="Arial" w:cs="Arial"/>
          <w:b/>
          <w:sz w:val="24"/>
        </w:rPr>
        <w:lastRenderedPageBreak/>
        <w:t>Appendix</w:t>
      </w:r>
      <w:r>
        <w:rPr>
          <w:rFonts w:ascii="Arial" w:hAnsi="Arial" w:cs="Arial"/>
          <w:b/>
          <w:sz w:val="24"/>
        </w:rPr>
        <w:t xml:space="preserve"> </w:t>
      </w:r>
    </w:p>
    <w:p w:rsidR="00543B5F" w:rsidRDefault="00543B5F" w:rsidP="00543B5F">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Simulation assumptions</w:t>
      </w:r>
    </w:p>
    <w:tbl>
      <w:tblPr>
        <w:tblW w:w="8635" w:type="dxa"/>
        <w:tblInd w:w="-5" w:type="dxa"/>
        <w:tblLook w:val="04A0" w:firstRow="1" w:lastRow="0" w:firstColumn="1" w:lastColumn="0" w:noHBand="0" w:noVBand="1"/>
      </w:tblPr>
      <w:tblGrid>
        <w:gridCol w:w="4317"/>
        <w:gridCol w:w="4318"/>
      </w:tblGrid>
      <w:tr w:rsidR="00543B5F" w:rsidRPr="002D010B" w:rsidTr="00E26E3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543B5F" w:rsidRPr="002D010B" w:rsidTr="00E26E3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543B5F" w:rsidRPr="002D010B" w:rsidTr="00E26E3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543B5F" w:rsidRPr="002D010B" w:rsidTr="00E26E3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543B5F" w:rsidRPr="002D010B" w:rsidTr="00E26E3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543B5F"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543B5F"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543B5F" w:rsidRPr="002D010B" w:rsidRDefault="00543B5F" w:rsidP="00E26E37">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543B5F" w:rsidRPr="002D010B" w:rsidRDefault="00543B5F" w:rsidP="00E26E37">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 xml:space="preserve">38.901 UMa channel model </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543B5F" w:rsidRPr="0060793B" w:rsidRDefault="00543B5F" w:rsidP="00E26E37">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543B5F"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543B5F" w:rsidRPr="002D010B" w:rsidTr="00E26E3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543B5F" w:rsidRPr="002D010B" w:rsidRDefault="00543B5F" w:rsidP="00E26E37">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543B5F" w:rsidRPr="008D4DC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543B5F" w:rsidRPr="002D010B" w:rsidTr="00E26E3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4 beams, wb+sb, 8psk</w:t>
            </w:r>
          </w:p>
        </w:tc>
      </w:tr>
      <w:tr w:rsidR="00543B5F" w:rsidRPr="002D010B" w:rsidTr="00E26E3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543B5F" w:rsidRPr="002D010B" w:rsidTr="00E26E3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543B5F" w:rsidRPr="002D010B" w:rsidTr="00E26E3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 layers</w:t>
            </w:r>
          </w:p>
        </w:tc>
      </w:tr>
      <w:tr w:rsidR="00543B5F" w:rsidRPr="002D010B" w:rsidTr="00E26E3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543B5F" w:rsidRPr="002D010B" w:rsidTr="00E26E3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r>
            <w:r w:rsidR="004679F0">
              <w:rPr>
                <w:rFonts w:ascii="Arial" w:eastAsia="Times New Roman" w:hAnsi="Arial" w:cs="Arial"/>
                <w:sz w:val="18"/>
                <w:szCs w:val="18"/>
              </w:rPr>
              <w:t>Subband</w:t>
            </w:r>
            <w:r w:rsidRPr="002D010B">
              <w:rPr>
                <w:rFonts w:ascii="Arial" w:eastAsia="Times New Roman" w:hAnsi="Arial" w:cs="Arial"/>
                <w:sz w:val="18"/>
                <w:szCs w:val="18"/>
              </w:rPr>
              <w:t xml:space="preserve"> based </w:t>
            </w:r>
          </w:p>
        </w:tc>
      </w:tr>
      <w:tr w:rsidR="00543B5F" w:rsidRPr="002D010B" w:rsidTr="00E26E3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543B5F" w:rsidRPr="002D010B" w:rsidTr="00E26E3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543B5F" w:rsidRPr="002D010B" w:rsidTr="00E26E3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543B5F" w:rsidRPr="002D010B" w:rsidTr="00E26E3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(8,4,2,1,1;2,4</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543B5F" w:rsidRPr="002D010B" w:rsidTr="00E26E3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543B5F" w:rsidRPr="002D010B" w:rsidTr="00E26E3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543B5F" w:rsidRPr="002D010B" w:rsidTr="00E26E37">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543B5F" w:rsidRPr="002D010B" w:rsidTr="00E26E3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543B5F" w:rsidRPr="002D010B" w:rsidTr="00E26E3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543B5F" w:rsidRPr="002D010B" w:rsidRDefault="00543B5F" w:rsidP="00E26E3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543B5F" w:rsidRPr="002D010B" w:rsidTr="00E26E37">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543B5F" w:rsidRPr="002D010B" w:rsidTr="00E26E3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543B5F" w:rsidRPr="002D010B" w:rsidRDefault="00543B5F" w:rsidP="00E26E37">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543B5F" w:rsidRPr="002D010B" w:rsidTr="00E26E3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543B5F" w:rsidRPr="002D010B" w:rsidRDefault="00543B5F" w:rsidP="00E26E3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bookmarkEnd w:id="0"/>
    </w:tbl>
    <w:p w:rsidR="002C2D79" w:rsidRPr="002C2D79" w:rsidRDefault="002C2D79" w:rsidP="002C2D79"/>
    <w:sectPr w:rsidR="002C2D79" w:rsidRPr="002C2D79" w:rsidSect="00973215">
      <w:headerReference w:type="even" r:id="rId21"/>
      <w:headerReference w:type="default" r:id="rId22"/>
      <w:footerReference w:type="even" r:id="rId23"/>
      <w:footerReference w:type="default" r:id="rId24"/>
      <w:headerReference w:type="first" r:id="rId25"/>
      <w:footerReference w:type="first" r:id="rId26"/>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E69" w:rsidRDefault="004E7E69">
      <w:r>
        <w:separator/>
      </w:r>
    </w:p>
  </w:endnote>
  <w:endnote w:type="continuationSeparator" w:id="0">
    <w:p w:rsidR="004E7E69" w:rsidRDefault="004E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E69" w:rsidRDefault="004E7E69">
      <w:r>
        <w:separator/>
      </w:r>
    </w:p>
  </w:footnote>
  <w:footnote w:type="continuationSeparator" w:id="0">
    <w:p w:rsidR="004E7E69" w:rsidRDefault="004E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FE2" w:rsidRDefault="00C56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77661"/>
    <w:multiLevelType w:val="hybridMultilevel"/>
    <w:tmpl w:val="1CC89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33764B"/>
    <w:multiLevelType w:val="hybridMultilevel"/>
    <w:tmpl w:val="0004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ED4F91"/>
    <w:multiLevelType w:val="multilevel"/>
    <w:tmpl w:val="E8AE04BE"/>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4"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5"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025A0C"/>
    <w:multiLevelType w:val="hybridMultilevel"/>
    <w:tmpl w:val="8B2C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42353"/>
    <w:multiLevelType w:val="hybridMultilevel"/>
    <w:tmpl w:val="B9B4C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13C2F4D"/>
    <w:multiLevelType w:val="hybridMultilevel"/>
    <w:tmpl w:val="D4F4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30"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31"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32"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37"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39"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41"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3"/>
  </w:num>
  <w:num w:numId="3">
    <w:abstractNumId w:val="30"/>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9"/>
  </w:num>
  <w:num w:numId="16">
    <w:abstractNumId w:val="37"/>
  </w:num>
  <w:num w:numId="17">
    <w:abstractNumId w:val="21"/>
  </w:num>
  <w:num w:numId="18">
    <w:abstractNumId w:val="45"/>
  </w:num>
  <w:num w:numId="19">
    <w:abstractNumId w:val="15"/>
  </w:num>
  <w:num w:numId="20">
    <w:abstractNumId w:val="36"/>
  </w:num>
  <w:num w:numId="21">
    <w:abstractNumId w:val="14"/>
  </w:num>
  <w:num w:numId="22">
    <w:abstractNumId w:val="22"/>
  </w:num>
  <w:num w:numId="23">
    <w:abstractNumId w:val="23"/>
  </w:num>
  <w:num w:numId="24">
    <w:abstractNumId w:val="32"/>
  </w:num>
  <w:num w:numId="25">
    <w:abstractNumId w:val="18"/>
  </w:num>
  <w:num w:numId="26">
    <w:abstractNumId w:val="28"/>
  </w:num>
  <w:num w:numId="27">
    <w:abstractNumId w:val="38"/>
  </w:num>
  <w:num w:numId="28">
    <w:abstractNumId w:val="31"/>
  </w:num>
  <w:num w:numId="29">
    <w:abstractNumId w:val="20"/>
  </w:num>
  <w:num w:numId="30">
    <w:abstractNumId w:val="41"/>
  </w:num>
  <w:num w:numId="31">
    <w:abstractNumId w:val="40"/>
  </w:num>
  <w:num w:numId="32">
    <w:abstractNumId w:val="43"/>
  </w:num>
  <w:num w:numId="33">
    <w:abstractNumId w:val="34"/>
  </w:num>
  <w:num w:numId="34">
    <w:abstractNumId w:val="26"/>
  </w:num>
  <w:num w:numId="35">
    <w:abstractNumId w:val="42"/>
  </w:num>
  <w:num w:numId="36">
    <w:abstractNumId w:val="25"/>
  </w:num>
  <w:num w:numId="37">
    <w:abstractNumId w:val="12"/>
  </w:num>
  <w:num w:numId="38">
    <w:abstractNumId w:val="27"/>
  </w:num>
  <w:num w:numId="39">
    <w:abstractNumId w:val="24"/>
  </w:num>
  <w:num w:numId="40">
    <w:abstractNumId w:val="35"/>
  </w:num>
  <w:num w:numId="41">
    <w:abstractNumId w:val="11"/>
  </w:num>
  <w:num w:numId="42">
    <w:abstractNumId w:val="10"/>
  </w:num>
  <w:num w:numId="43">
    <w:abstractNumId w:val="16"/>
  </w:num>
  <w:num w:numId="44">
    <w:abstractNumId w:val="13"/>
  </w:num>
  <w:num w:numId="45">
    <w:abstractNumId w:val="33"/>
  </w:num>
  <w:num w:numId="46">
    <w:abstractNumId w:val="17"/>
  </w:num>
  <w:num w:numId="4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D85EA1"/>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2B"/>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5F9C"/>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40C"/>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497"/>
    <w:rsid w:val="00090A94"/>
    <w:rsid w:val="00090B36"/>
    <w:rsid w:val="00090C3A"/>
    <w:rsid w:val="00090D1B"/>
    <w:rsid w:val="00090EEA"/>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8CE"/>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5E48"/>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82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996"/>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6BB"/>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7EA"/>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894"/>
    <w:rsid w:val="00150C1F"/>
    <w:rsid w:val="00150CB3"/>
    <w:rsid w:val="00150D42"/>
    <w:rsid w:val="001512DA"/>
    <w:rsid w:val="00151582"/>
    <w:rsid w:val="001520CF"/>
    <w:rsid w:val="0015215A"/>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279"/>
    <w:rsid w:val="001637B2"/>
    <w:rsid w:val="00163A1E"/>
    <w:rsid w:val="00163BCE"/>
    <w:rsid w:val="00163D14"/>
    <w:rsid w:val="001643FC"/>
    <w:rsid w:val="0016442C"/>
    <w:rsid w:val="00164699"/>
    <w:rsid w:val="001646A8"/>
    <w:rsid w:val="001648EB"/>
    <w:rsid w:val="00164C4B"/>
    <w:rsid w:val="00164F9A"/>
    <w:rsid w:val="001651EB"/>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D55"/>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455"/>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4F5C"/>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3E29"/>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F4"/>
    <w:rsid w:val="001F2130"/>
    <w:rsid w:val="001F2F1C"/>
    <w:rsid w:val="001F2F35"/>
    <w:rsid w:val="001F332F"/>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63F"/>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AC7"/>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6E14"/>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54A"/>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4E"/>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4D"/>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3E0"/>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BE"/>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6425"/>
    <w:rsid w:val="00316E93"/>
    <w:rsid w:val="003170F9"/>
    <w:rsid w:val="003175EA"/>
    <w:rsid w:val="00320098"/>
    <w:rsid w:val="00320549"/>
    <w:rsid w:val="003207DF"/>
    <w:rsid w:val="00320949"/>
    <w:rsid w:val="00320C2B"/>
    <w:rsid w:val="00321CB0"/>
    <w:rsid w:val="00321DE5"/>
    <w:rsid w:val="00322126"/>
    <w:rsid w:val="00322454"/>
    <w:rsid w:val="003227FB"/>
    <w:rsid w:val="00322D68"/>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8F9"/>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789"/>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576"/>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CF1"/>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44"/>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AF"/>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7FF"/>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9F0"/>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128"/>
    <w:rsid w:val="004753D1"/>
    <w:rsid w:val="004756F4"/>
    <w:rsid w:val="00475A7C"/>
    <w:rsid w:val="00475DB4"/>
    <w:rsid w:val="004765B8"/>
    <w:rsid w:val="00476ACB"/>
    <w:rsid w:val="00476F48"/>
    <w:rsid w:val="00476FAA"/>
    <w:rsid w:val="00477096"/>
    <w:rsid w:val="00477227"/>
    <w:rsid w:val="004774D4"/>
    <w:rsid w:val="00477873"/>
    <w:rsid w:val="00477DF1"/>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2ED"/>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C97"/>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3D75"/>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E7E69"/>
    <w:rsid w:val="004F0AB8"/>
    <w:rsid w:val="004F0E5C"/>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3A42"/>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B5F"/>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5A0"/>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6DB2"/>
    <w:rsid w:val="00557622"/>
    <w:rsid w:val="00557D3E"/>
    <w:rsid w:val="00560A6A"/>
    <w:rsid w:val="0056100C"/>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831"/>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310"/>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2A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62E"/>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DA1"/>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04B"/>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216"/>
    <w:rsid w:val="00636D85"/>
    <w:rsid w:val="00636D86"/>
    <w:rsid w:val="00637A12"/>
    <w:rsid w:val="00637D0D"/>
    <w:rsid w:val="00637E89"/>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45"/>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1F4"/>
    <w:rsid w:val="006649F1"/>
    <w:rsid w:val="00664D2E"/>
    <w:rsid w:val="00664FD6"/>
    <w:rsid w:val="00665304"/>
    <w:rsid w:val="00665919"/>
    <w:rsid w:val="00665AFB"/>
    <w:rsid w:val="00665BFA"/>
    <w:rsid w:val="00665E91"/>
    <w:rsid w:val="00666046"/>
    <w:rsid w:val="006661B2"/>
    <w:rsid w:val="00666D2E"/>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4D9"/>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968"/>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6C11"/>
    <w:rsid w:val="006B728B"/>
    <w:rsid w:val="006B72A9"/>
    <w:rsid w:val="006B730F"/>
    <w:rsid w:val="006B7791"/>
    <w:rsid w:val="006B784E"/>
    <w:rsid w:val="006B7A2E"/>
    <w:rsid w:val="006C107C"/>
    <w:rsid w:val="006C111D"/>
    <w:rsid w:val="006C1704"/>
    <w:rsid w:val="006C1D7E"/>
    <w:rsid w:val="006C1FBB"/>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2BD"/>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5F2"/>
    <w:rsid w:val="006E2732"/>
    <w:rsid w:val="006E2C70"/>
    <w:rsid w:val="006E34C2"/>
    <w:rsid w:val="006E39CF"/>
    <w:rsid w:val="006E3A9D"/>
    <w:rsid w:val="006E449B"/>
    <w:rsid w:val="006E49F3"/>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0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4C1"/>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4A7"/>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DA7"/>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592"/>
    <w:rsid w:val="007A17B2"/>
    <w:rsid w:val="007A187A"/>
    <w:rsid w:val="007A1BBB"/>
    <w:rsid w:val="007A1E1C"/>
    <w:rsid w:val="007A311F"/>
    <w:rsid w:val="007A3595"/>
    <w:rsid w:val="007A3699"/>
    <w:rsid w:val="007A389B"/>
    <w:rsid w:val="007A3F29"/>
    <w:rsid w:val="007A408F"/>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8DB"/>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CAF"/>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17D7"/>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187"/>
    <w:rsid w:val="00843D3D"/>
    <w:rsid w:val="0084453A"/>
    <w:rsid w:val="00844DC6"/>
    <w:rsid w:val="008451C6"/>
    <w:rsid w:val="008452C3"/>
    <w:rsid w:val="00845341"/>
    <w:rsid w:val="00845798"/>
    <w:rsid w:val="00845B0E"/>
    <w:rsid w:val="00845BEC"/>
    <w:rsid w:val="00845DB3"/>
    <w:rsid w:val="00846F9A"/>
    <w:rsid w:val="00847005"/>
    <w:rsid w:val="00847426"/>
    <w:rsid w:val="0085000D"/>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4A48"/>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9C5"/>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64B"/>
    <w:rsid w:val="00895D73"/>
    <w:rsid w:val="00895D93"/>
    <w:rsid w:val="00895F30"/>
    <w:rsid w:val="00896117"/>
    <w:rsid w:val="0089674E"/>
    <w:rsid w:val="0089677B"/>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88F"/>
    <w:rsid w:val="008C5B11"/>
    <w:rsid w:val="008C5DC4"/>
    <w:rsid w:val="008C5FF9"/>
    <w:rsid w:val="008C640A"/>
    <w:rsid w:val="008C66EA"/>
    <w:rsid w:val="008C6804"/>
    <w:rsid w:val="008C6D18"/>
    <w:rsid w:val="008C6DC0"/>
    <w:rsid w:val="008C6FE1"/>
    <w:rsid w:val="008C710A"/>
    <w:rsid w:val="008C7322"/>
    <w:rsid w:val="008C75A7"/>
    <w:rsid w:val="008C762B"/>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9A"/>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3751"/>
    <w:rsid w:val="009240B2"/>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51"/>
    <w:rsid w:val="009517F3"/>
    <w:rsid w:val="00951A88"/>
    <w:rsid w:val="00951B24"/>
    <w:rsid w:val="00952152"/>
    <w:rsid w:val="00952253"/>
    <w:rsid w:val="0095226E"/>
    <w:rsid w:val="0095237D"/>
    <w:rsid w:val="00952427"/>
    <w:rsid w:val="00952B5D"/>
    <w:rsid w:val="00952E11"/>
    <w:rsid w:val="00952EC0"/>
    <w:rsid w:val="009534CC"/>
    <w:rsid w:val="0095372B"/>
    <w:rsid w:val="00953A27"/>
    <w:rsid w:val="00953B8C"/>
    <w:rsid w:val="00954234"/>
    <w:rsid w:val="00954284"/>
    <w:rsid w:val="00954465"/>
    <w:rsid w:val="009549CD"/>
    <w:rsid w:val="00954B0A"/>
    <w:rsid w:val="00954DE1"/>
    <w:rsid w:val="00954E7F"/>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0C9"/>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2B2"/>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4B9"/>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6EB"/>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ED7"/>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1E33"/>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18"/>
    <w:rsid w:val="00A31BF5"/>
    <w:rsid w:val="00A31D37"/>
    <w:rsid w:val="00A324DB"/>
    <w:rsid w:val="00A3291F"/>
    <w:rsid w:val="00A32967"/>
    <w:rsid w:val="00A329DD"/>
    <w:rsid w:val="00A33137"/>
    <w:rsid w:val="00A3383D"/>
    <w:rsid w:val="00A3397E"/>
    <w:rsid w:val="00A33A4C"/>
    <w:rsid w:val="00A33EE5"/>
    <w:rsid w:val="00A33F3C"/>
    <w:rsid w:val="00A343E9"/>
    <w:rsid w:val="00A34687"/>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51"/>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3BE9"/>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07ECD"/>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5DF3"/>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830"/>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2FB"/>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89"/>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046"/>
    <w:rsid w:val="00B63181"/>
    <w:rsid w:val="00B6326B"/>
    <w:rsid w:val="00B632E9"/>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5255"/>
    <w:rsid w:val="00B7536B"/>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06F"/>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CCC"/>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158"/>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4A3"/>
    <w:rsid w:val="00BA35BD"/>
    <w:rsid w:val="00BA3922"/>
    <w:rsid w:val="00BA4025"/>
    <w:rsid w:val="00BA46AB"/>
    <w:rsid w:val="00BA482C"/>
    <w:rsid w:val="00BA4B24"/>
    <w:rsid w:val="00BA4B79"/>
    <w:rsid w:val="00BA4BA2"/>
    <w:rsid w:val="00BA4D18"/>
    <w:rsid w:val="00BA4F55"/>
    <w:rsid w:val="00BA50D0"/>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01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5EA"/>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5D3B"/>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3C8"/>
    <w:rsid w:val="00C33676"/>
    <w:rsid w:val="00C337C1"/>
    <w:rsid w:val="00C33A0E"/>
    <w:rsid w:val="00C33D41"/>
    <w:rsid w:val="00C340D9"/>
    <w:rsid w:val="00C34224"/>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3AB0"/>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6FE2"/>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04E"/>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438"/>
    <w:rsid w:val="00CA390C"/>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8EF"/>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A12"/>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2D2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70C"/>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1A7"/>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80"/>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4D59"/>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2B0"/>
    <w:rsid w:val="00D72745"/>
    <w:rsid w:val="00D7280F"/>
    <w:rsid w:val="00D72BEC"/>
    <w:rsid w:val="00D72CD0"/>
    <w:rsid w:val="00D72E3E"/>
    <w:rsid w:val="00D72EC9"/>
    <w:rsid w:val="00D7328C"/>
    <w:rsid w:val="00D73494"/>
    <w:rsid w:val="00D73713"/>
    <w:rsid w:val="00D73923"/>
    <w:rsid w:val="00D74353"/>
    <w:rsid w:val="00D7499C"/>
    <w:rsid w:val="00D75211"/>
    <w:rsid w:val="00D75A0B"/>
    <w:rsid w:val="00D75A59"/>
    <w:rsid w:val="00D75ACD"/>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EA1"/>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2C78"/>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4D"/>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207"/>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6E37"/>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5D"/>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77FEB"/>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0E3"/>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A97"/>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5D6"/>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27D9C"/>
    <w:rsid w:val="00F3086E"/>
    <w:rsid w:val="00F30B72"/>
    <w:rsid w:val="00F30D9C"/>
    <w:rsid w:val="00F30F74"/>
    <w:rsid w:val="00F317B3"/>
    <w:rsid w:val="00F31976"/>
    <w:rsid w:val="00F31E66"/>
    <w:rsid w:val="00F3251C"/>
    <w:rsid w:val="00F32AE2"/>
    <w:rsid w:val="00F333B9"/>
    <w:rsid w:val="00F339F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D4A"/>
    <w:rsid w:val="00F806B2"/>
    <w:rsid w:val="00F80D29"/>
    <w:rsid w:val="00F81043"/>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A6"/>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533"/>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C2E"/>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14:docId w14:val="7D6B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Style1">
    <w:name w:val="Style1"/>
    <w:basedOn w:val="Normal"/>
    <w:link w:val="Style1Char"/>
    <w:qFormat/>
    <w:rsid w:val="0001372B"/>
    <w:pPr>
      <w:spacing w:before="0" w:after="180" w:line="288" w:lineRule="auto"/>
      <w:ind w:firstLine="360"/>
    </w:pPr>
    <w:rPr>
      <w:rFonts w:eastAsia="Malgun Gothic" w:cs="Batang"/>
      <w:lang w:val="en-GB"/>
    </w:rPr>
  </w:style>
  <w:style w:type="character" w:customStyle="1" w:styleId="Style1Char">
    <w:name w:val="Style1 Char"/>
    <w:link w:val="Style1"/>
    <w:rsid w:val="0001372B"/>
    <w:rPr>
      <w:rFonts w:eastAsia="Malgun Gothic" w:cs="Batang"/>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1372B"/>
    <w:pPr>
      <w:spacing w:before="0" w:after="0" w:line="240" w:lineRule="auto"/>
      <w:ind w:leftChars="400" w:left="840"/>
      <w:jc w:val="left"/>
    </w:pPr>
    <w:rPr>
      <w:rFonts w:ascii="Times" w:eastAsia="Batang" w:hAnsi="Times"/>
      <w:szCs w:val="24"/>
      <w:lang w:val="en-GB"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01372B"/>
    <w:rPr>
      <w:rFonts w:ascii="Times" w:eastAsia="Batang" w:hAnsi="Times"/>
      <w:szCs w:val="24"/>
      <w:lang w:val="en-GB" w:eastAsia="x-none"/>
    </w:rPr>
  </w:style>
  <w:style w:type="character" w:styleId="PlaceholderText">
    <w:name w:val="Placeholder Text"/>
    <w:basedOn w:val="DefaultParagraphFont"/>
    <w:uiPriority w:val="99"/>
    <w:semiHidden/>
    <w:rsid w:val="007E17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272235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7180213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096535">
      <w:bodyDiv w:val="1"/>
      <w:marLeft w:val="0"/>
      <w:marRight w:val="0"/>
      <w:marTop w:val="0"/>
      <w:marBottom w:val="0"/>
      <w:divBdr>
        <w:top w:val="none" w:sz="0" w:space="0" w:color="auto"/>
        <w:left w:val="none" w:sz="0" w:space="0" w:color="auto"/>
        <w:bottom w:val="none" w:sz="0" w:space="0" w:color="auto"/>
        <w:right w:val="none" w:sz="0" w:space="0" w:color="auto"/>
      </w:divBdr>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390660201">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05019">
      <w:bodyDiv w:val="1"/>
      <w:marLeft w:val="0"/>
      <w:marRight w:val="0"/>
      <w:marTop w:val="0"/>
      <w:marBottom w:val="0"/>
      <w:divBdr>
        <w:top w:val="none" w:sz="0" w:space="0" w:color="auto"/>
        <w:left w:val="none" w:sz="0" w:space="0" w:color="auto"/>
        <w:bottom w:val="none" w:sz="0" w:space="0" w:color="auto"/>
        <w:right w:val="none" w:sz="0" w:space="0" w:color="auto"/>
      </w:divBdr>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8020">
      <w:bodyDiv w:val="1"/>
      <w:marLeft w:val="0"/>
      <w:marRight w:val="0"/>
      <w:marTop w:val="0"/>
      <w:marBottom w:val="0"/>
      <w:divBdr>
        <w:top w:val="none" w:sz="0" w:space="0" w:color="auto"/>
        <w:left w:val="none" w:sz="0" w:space="0" w:color="auto"/>
        <w:bottom w:val="none" w:sz="0" w:space="0" w:color="auto"/>
        <w:right w:val="none" w:sz="0" w:space="0" w:color="auto"/>
      </w:divBdr>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 w:id="1914004873">
      <w:bodyDiv w:val="1"/>
      <w:marLeft w:val="0"/>
      <w:marRight w:val="0"/>
      <w:marTop w:val="0"/>
      <w:marBottom w:val="0"/>
      <w:divBdr>
        <w:top w:val="none" w:sz="0" w:space="0" w:color="auto"/>
        <w:left w:val="none" w:sz="0" w:space="0" w:color="auto"/>
        <w:bottom w:val="none" w:sz="0" w:space="0" w:color="auto"/>
        <w:right w:val="none" w:sz="0" w:space="0" w:color="auto"/>
      </w:divBdr>
    </w:div>
    <w:div w:id="1927107422">
      <w:bodyDiv w:val="1"/>
      <w:marLeft w:val="0"/>
      <w:marRight w:val="0"/>
      <w:marTop w:val="0"/>
      <w:marBottom w:val="0"/>
      <w:divBdr>
        <w:top w:val="none" w:sz="0" w:space="0" w:color="auto"/>
        <w:left w:val="none" w:sz="0" w:space="0" w:color="auto"/>
        <w:bottom w:val="none" w:sz="0" w:space="0" w:color="auto"/>
        <w:right w:val="none" w:sz="0" w:space="0" w:color="auto"/>
      </w:divBdr>
    </w:div>
    <w:div w:id="213509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A00F3-2858-4535-AA9B-025D3A3E4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4596</Words>
  <Characters>26199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2019-01-12T04:33:00Z</dcterms:created>
  <dcterms:modified xsi:type="dcterms:W3CDTF">2019-01-12T04:33:00Z</dcterms:modified>
</cp:coreProperties>
</file>